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Aug 2023</w:t>
      </w:r>
    </w:p>
    <w:p>
      <w:pPr>
        <w:pStyle w:val="Textodebloque"/>
      </w:pPr>
      <w:r>
        <w:rPr>
          <w:bCs/>
          <w:b/>
        </w:rPr>
        <w:t xml:space="preserve">Versión</w:t>
      </w:r>
      <w:r>
        <w:t xml:space="preserve"> </w:t>
      </w:r>
      <w:r>
        <w:t xml:space="preserve">1.6881d63</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por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Definición de los Bloques de Construcción Abstractos del FNA (BCAF)</w:t>
      </w:r>
    </w:p>
    <w:p>
      <w:pPr>
        <w:numPr>
          <w:ilvl w:val="0"/>
          <w:numId w:val="1001"/>
        </w:numPr>
        <w:pStyle w:val="Compact"/>
      </w:pPr>
      <w:r>
        <w:t xml:space="preserve">Métodos para la gestión y evolución de los Bloques de Construcción Abstractos del FNA (BCAF)</w:t>
      </w:r>
    </w:p>
    <w:p>
      <w:pPr>
        <w:numPr>
          <w:ilvl w:val="0"/>
          <w:numId w:val="1001"/>
        </w:numPr>
        <w:pStyle w:val="Compact"/>
      </w:pPr>
      <w:r>
        <w:t xml:space="preserve">Listado de Bloques de Construcción Abstractos del FNA (BCAF)</w:t>
      </w:r>
    </w:p>
    <w:p>
      <w:pPr>
        <w:numPr>
          <w:ilvl w:val="0"/>
          <w:numId w:val="1001"/>
        </w:numPr>
        <w:pStyle w:val="Compact"/>
      </w:pPr>
      <w:r>
        <w:t xml:space="preserve">Utilización de los Bloques de Construcción Abstractos en el FNA</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Detalle de ítems de la línea base de arquitectura de referencia 2.0 del FNA</w:t>
      </w:r>
    </w:p>
    <w:p>
      <w:pPr>
        <w:numPr>
          <w:ilvl w:val="0"/>
          <w:numId w:val="1002"/>
        </w:numPr>
        <w:pStyle w:val="Compact"/>
      </w:pPr>
      <w:r>
        <w:t xml:space="preserve">Repositorio de arquitectura del FNA, versión 0.5, actualizado con arquitectura de referencia</w:t>
      </w:r>
    </w:p>
    <w:p>
      <w:pPr>
        <w:numPr>
          <w:ilvl w:val="0"/>
          <w:numId w:val="1002"/>
        </w:numPr>
        <w:pStyle w:val="Compact"/>
      </w:pPr>
      <w:r>
        <w:t xml:space="preserve">Consideraciones para la adopción y puesta en marcha de los cambios en las arquitecturas del FNA</w:t>
      </w:r>
    </w:p>
    <w:p>
      <w:pPr>
        <w:numPr>
          <w:ilvl w:val="0"/>
          <w:numId w:val="1002"/>
        </w:numPr>
        <w:pStyle w:val="Compact"/>
      </w:pPr>
      <w:r>
        <w:t xml:space="preserve">Anexo. 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9e4add75-9479-4186-912e-f10b7a2565b2"/>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9c4a4bc3-8886-4694-9a60-6b86255e6542"/>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2023-08-15T18:58:16Z</dcterms:created>
  <dcterms:modified xsi:type="dcterms:W3CDTF">2023-08-15T18:58:16Z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