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Repositorio de arquitectura del FNA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60"/>
        <w:gridCol w:w="61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Modelos actualizados de los ítems de arquitectura impactados por el proyecto:</w:t>
            </w:r>
            <w:r>
              <w:t xml:space="preserve"> </w:t>
            </w:r>
            <w:r>
              <w:rPr>
                <w:bCs/>
                <w:b/>
              </w:rPr>
              <w:t xml:space="preserve">Detalle de ítems de la arquitectura de referencia del FNA actualizados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Diseño, Modelos, Bloques de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1.e078c43</w:t>
            </w:r>
            <w:r>
              <w:t xml:space="preserve"> </w:t>
            </w:r>
            <w:r>
              <w:t xml:space="preserve">del 17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2023-08-17T22:57:54Z</dcterms:created>
  <dcterms:modified xsi:type="dcterms:W3CDTF">2023-08-17T22:57:54Z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