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" ContentType="application/octet-stream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1-estado-soa-actual"/>
    <w:p>
      <w:pPr>
        <w:pStyle w:val="2"/>
      </w:pPr>
      <w:r>
        <w:t xml:space="preserve">Fase 1: Estado SOA Actual</w:t>
      </w:r>
    </w:p>
    <w:bookmarkEnd w:id="20"/>
    <w:bookmarkStart w:id="21" w:name="contenido-de-los-productos-del-alcance"/>
    <w:p>
      <w:pPr>
        <w:pStyle w:val="2"/>
      </w:pPr>
      <w:r>
        <w:t xml:space="preserve">Contenido de los Productos del Alcance</w:t>
      </w:r>
    </w:p>
    <w:bookmarkEnd w:id="21"/>
    <w:bookmarkStart w:id="25" w:name="producto-1-pr1.-soa-actual"/>
    <w:p>
      <w:pPr>
        <w:pStyle w:val="2"/>
      </w:pPr>
      <w:r>
        <w:t xml:space="preserve">Producto 1: PR1. SOA Actual</w:t>
      </w:r>
    </w:p>
    <w:p>
      <w:pPr>
        <w:pStyle w:val="31"/>
      </w:pPr>
      <w:r>
        <w:t xml:space="preserve">Presentar la situación general SOA del Fondo Nacionnal del Ahorro (FNA) al año 2022 - 2023 desde organizada según las vistas de arquitectura. Por tanto, la situación general SOA del Fondo está comprendida por las vistas funcional, la de información, integración y la vista tecnológoca actual en donde destacan los sistemas de información (aplicaciones) críticas para el negocio, los servicios SOA y las tecnologías y proveedores que operan en el Fondo.</w:t>
      </w:r>
    </w:p>
    <w:bookmarkStart w:id="22" w:name="justificación"/>
    <w:p>
      <w:pPr>
        <w:pStyle w:val="4"/>
      </w:pPr>
      <w:r>
        <w:t xml:space="preserve">Justificación</w:t>
      </w:r>
    </w:p>
    <w:p>
      <w:pPr>
        <w:pStyle w:val="31"/>
      </w:pPr>
      <w:r>
        <w:t xml:space="preserve">La arquitectura, organizada por vistas, se convierte en un medio de trabajo común entre negocio y tecnología. Adicionalmente, provee un vocabulario común y un espacio de análisis sobre las decisiones de arquitectura y su impacto en el negocio. La estructura por vistas, es un estándar de organización de arquitectura y se sugieren las mínimas necesarias para lograr comunicar de forma efectiva las decisiones relevantes que componen la propuesta de servicios actual del Fondo.</w:t>
      </w:r>
    </w:p>
    <w:bookmarkEnd w:id="22"/>
    <w:bookmarkStart w:id="23" w:name="contenidos"/>
    <w:p>
      <w:pPr>
        <w:pStyle w:val="4"/>
      </w:pPr>
      <w:r>
        <w:t xml:space="preserve">Contenidos</w:t>
      </w:r>
    </w:p>
    <w:p>
      <w:pPr>
        <w:numPr>
          <w:ilvl w:val="0"/>
          <w:numId w:val="1001"/>
        </w:numPr>
        <w:pStyle w:val="34"/>
      </w:pPr>
      <w:r>
        <w:t xml:space="preserve">Descripción de la vista Funcional Actual</w:t>
      </w:r>
    </w:p>
    <w:p>
      <w:pPr>
        <w:numPr>
          <w:ilvl w:val="1"/>
          <w:numId w:val="1002"/>
        </w:numPr>
        <w:pStyle w:val="34"/>
      </w:pPr>
      <w:r>
        <w:t xml:space="preserve">Vista de Contexto: objetivos del diagnóstico SOA, productos, áreas, y procesos FNA objeto del diagnóstico</w:t>
      </w:r>
    </w:p>
    <w:p>
      <w:pPr>
        <w:numPr>
          <w:ilvl w:val="1"/>
          <w:numId w:val="1002"/>
        </w:numPr>
        <w:pStyle w:val="34"/>
      </w:pPr>
      <w:r>
        <w:t xml:space="preserve">Vista de Segmento del ejercicio SOA del FNA</w:t>
      </w:r>
    </w:p>
    <w:p>
      <w:pPr>
        <w:numPr>
          <w:ilvl w:val="1"/>
          <w:numId w:val="1002"/>
        </w:numPr>
        <w:pStyle w:val="34"/>
      </w:pPr>
      <w:r>
        <w:t xml:space="preserve">Catálogo de servicios (blueprint) seleccionados FNA</w:t>
      </w:r>
    </w:p>
    <w:p>
      <w:pPr>
        <w:numPr>
          <w:ilvl w:val="2"/>
          <w:numId w:val="1003"/>
        </w:numPr>
        <w:pStyle w:val="34"/>
      </w:pPr>
      <w:r>
        <w:t xml:space="preserve">Áreas objeto del diagnóstico SOA</w:t>
      </w:r>
    </w:p>
    <w:p>
      <w:pPr>
        <w:numPr>
          <w:ilvl w:val="2"/>
          <w:numId w:val="1003"/>
        </w:numPr>
        <w:pStyle w:val="34"/>
      </w:pPr>
      <w:r>
        <w:t xml:space="preserve">Capacidades de negocio FNA relacionadas con servicios SOA</w:t>
      </w:r>
    </w:p>
    <w:p>
      <w:pPr>
        <w:numPr>
          <w:ilvl w:val="2"/>
          <w:numId w:val="1003"/>
        </w:numPr>
        <w:pStyle w:val="34"/>
      </w:pPr>
      <w:r>
        <w:t xml:space="preserve">Sistemas de información, aplicaciones y servicios</w:t>
      </w:r>
    </w:p>
    <w:p>
      <w:pPr>
        <w:numPr>
          <w:ilvl w:val="2"/>
          <w:numId w:val="1003"/>
        </w:numPr>
        <w:pStyle w:val="34"/>
      </w:pPr>
      <w:r>
        <w:t xml:space="preserve">Tipos de Servicios / Distribución de servicios SOA por tipo</w:t>
      </w:r>
    </w:p>
    <w:p>
      <w:pPr>
        <w:numPr>
          <w:ilvl w:val="1"/>
          <w:numId w:val="1002"/>
        </w:numPr>
        <w:pStyle w:val="34"/>
      </w:pPr>
      <w:r>
        <w:t xml:space="preserve">Servicios independientes (FNA debería tener)</w:t>
      </w:r>
    </w:p>
    <w:p>
      <w:pPr>
        <w:numPr>
          <w:ilvl w:val="1"/>
          <w:numId w:val="1002"/>
        </w:numPr>
        <w:pStyle w:val="34"/>
      </w:pPr>
      <w:r>
        <w:t xml:space="preserve">Procesos del FNA relacionados con los productos, objetivos, y áreas FNA objeto del diagnóstico SOA</w:t>
      </w:r>
    </w:p>
    <w:p>
      <w:pPr>
        <w:numPr>
          <w:ilvl w:val="1"/>
          <w:numId w:val="1002"/>
        </w:numPr>
        <w:pStyle w:val="34"/>
      </w:pPr>
      <w:r>
        <w:t xml:space="preserve">Arquitectura de referencia SOA del FNA</w:t>
      </w:r>
    </w:p>
    <w:p>
      <w:pPr>
        <w:numPr>
          <w:ilvl w:val="0"/>
          <w:numId w:val="1001"/>
        </w:numPr>
        <w:pStyle w:val="34"/>
      </w:pPr>
      <w:r>
        <w:t xml:space="preserve">Descripción de la vista de Información actual</w:t>
      </w:r>
    </w:p>
    <w:p>
      <w:pPr>
        <w:numPr>
          <w:ilvl w:val="1"/>
          <w:numId w:val="1004"/>
        </w:numPr>
        <w:pStyle w:val="34"/>
      </w:pPr>
      <w:r>
        <w:t xml:space="preserve">Portafolio de aplicaciones y proveedores</w:t>
      </w:r>
    </w:p>
    <w:p>
      <w:pPr>
        <w:numPr>
          <w:ilvl w:val="1"/>
          <w:numId w:val="1004"/>
        </w:numPr>
        <w:pStyle w:val="34"/>
      </w:pPr>
      <w:r>
        <w:t xml:space="preserve">Inventario de fuentes de datos</w:t>
      </w:r>
    </w:p>
    <w:p>
      <w:pPr>
        <w:numPr>
          <w:ilvl w:val="0"/>
          <w:numId w:val="1001"/>
        </w:numPr>
        <w:pStyle w:val="34"/>
      </w:pPr>
      <w:r>
        <w:t xml:space="preserve">Descripción de la vista de Integración actual</w:t>
      </w:r>
    </w:p>
    <w:p>
      <w:pPr>
        <w:numPr>
          <w:ilvl w:val="1"/>
          <w:numId w:val="1005"/>
        </w:numPr>
        <w:pStyle w:val="34"/>
      </w:pPr>
      <w:r>
        <w:t xml:space="preserve">Matriz de intercambio de información crítica del negocio</w:t>
      </w:r>
    </w:p>
    <w:p>
      <w:pPr>
        <w:numPr>
          <w:ilvl w:val="1"/>
          <w:numId w:val="1005"/>
        </w:numPr>
        <w:pStyle w:val="34"/>
      </w:pPr>
      <w:r>
        <w:t xml:space="preserve">Entidades de negocio (información y datos) relacionadas en la integración</w:t>
      </w:r>
    </w:p>
    <w:p>
      <w:pPr>
        <w:numPr>
          <w:ilvl w:val="1"/>
          <w:numId w:val="1005"/>
        </w:numPr>
        <w:pStyle w:val="34"/>
      </w:pPr>
      <w:r>
        <w:t xml:space="preserve">Conectores y servicios de integración</w:t>
      </w:r>
    </w:p>
    <w:p>
      <w:pPr>
        <w:numPr>
          <w:ilvl w:val="1"/>
          <w:numId w:val="1005"/>
        </w:numPr>
        <w:pStyle w:val="34"/>
      </w:pPr>
      <w:r>
        <w:t xml:space="preserve">Inventario de servicios por tipo (negocio, utilitarios, datos… )</w:t>
      </w:r>
    </w:p>
    <w:p>
      <w:pPr>
        <w:numPr>
          <w:ilvl w:val="1"/>
          <w:numId w:val="1005"/>
        </w:numPr>
        <w:pStyle w:val="34"/>
      </w:pPr>
      <w:r>
        <w:t xml:space="preserve">Conectores: necesidades de integración de las áreas del FNA objeto del diagnóstico SOA</w:t>
      </w:r>
    </w:p>
    <w:p>
      <w:pPr>
        <w:numPr>
          <w:ilvl w:val="1"/>
          <w:numId w:val="1005"/>
        </w:numPr>
        <w:pStyle w:val="34"/>
      </w:pPr>
      <w:r>
        <w:t xml:space="preserve">Interrelación Entre Servicios SOA del FNA</w:t>
      </w:r>
    </w:p>
    <w:p>
      <w:pPr>
        <w:numPr>
          <w:ilvl w:val="0"/>
          <w:numId w:val="1001"/>
        </w:numPr>
        <w:pStyle w:val="34"/>
      </w:pPr>
      <w:r>
        <w:t xml:space="preserve">Descripción de la vista Tecnológica actual</w:t>
      </w:r>
    </w:p>
    <w:p>
      <w:pPr>
        <w:numPr>
          <w:ilvl w:val="1"/>
          <w:numId w:val="1006"/>
        </w:numPr>
        <w:pStyle w:val="34"/>
      </w:pPr>
      <w:r>
        <w:t xml:space="preserve">Listado tecnológico del inventario de servicios</w:t>
      </w:r>
    </w:p>
    <w:p>
      <w:pPr>
        <w:numPr>
          <w:ilvl w:val="0"/>
          <w:numId w:val="1001"/>
        </w:numPr>
        <w:pStyle w:val="34"/>
      </w:pPr>
      <w:r>
        <w:t xml:space="preserve">Presentación del Método para el Análisis de Madurez SOA del FNA</w:t>
      </w:r>
    </w:p>
    <w:p>
      <w:pPr>
        <w:numPr>
          <w:ilvl w:val="1"/>
          <w:numId w:val="1007"/>
        </w:numPr>
        <w:pStyle w:val="34"/>
      </w:pPr>
      <w:r>
        <w:t xml:space="preserve">Cuestionarios de los objetivos del análisis</w:t>
      </w:r>
    </w:p>
    <w:p>
      <w:pPr>
        <w:numPr>
          <w:ilvl w:val="1"/>
          <w:numId w:val="1007"/>
        </w:numPr>
        <w:pStyle w:val="34"/>
      </w:pPr>
      <w:r>
        <w:t xml:space="preserve">Dimensiones del análisis (OSIMM)</w:t>
      </w:r>
    </w:p>
    <w:p>
      <w:pPr>
        <w:numPr>
          <w:ilvl w:val="1"/>
          <w:numId w:val="1007"/>
        </w:numPr>
        <w:pStyle w:val="34"/>
      </w:pPr>
      <w:r>
        <w:t xml:space="preserve">Herramienta de diagnóstico de nivel de madurez SOA</w:t>
      </w:r>
    </w:p>
    <w:bookmarkEnd w:id="23"/>
    <w:bookmarkStart w:id="24" w:name="criterios-de-aceptación"/>
    <w:p>
      <w:pPr>
        <w:pStyle w:val="4"/>
      </w:pPr>
      <w:r>
        <w:t xml:space="preserve">Criterios de Aceptación</w:t>
      </w:r>
    </w:p>
    <w:p>
      <w:pPr>
        <w:numPr>
          <w:ilvl w:val="0"/>
          <w:numId w:val="1008"/>
        </w:numPr>
        <w:pStyle w:val="34"/>
      </w:pPr>
      <w:r>
        <w:t xml:space="preserve">Descripción de las vistas funcionales para los dominios de negocio, información, Tecnológica e integración</w:t>
      </w:r>
    </w:p>
    <w:p>
      <w:pPr>
        <w:numPr>
          <w:ilvl w:val="0"/>
          <w:numId w:val="1008"/>
        </w:numPr>
        <w:pStyle w:val="34"/>
      </w:pPr>
      <w:r>
        <w:t xml:space="preserve">Análisis y diagnóstico del nivel de madurez SOA</w:t>
      </w:r>
    </w:p>
    <w:p>
      <w:r>
        <w:pict>
          <v:rect style="width:0;height:1.5pt" o:hralign="center" o:hrstd="t" o:hr="t"/>
        </w:pict>
      </w:r>
    </w:p>
    <w:bookmarkEnd w:id="24"/>
    <w:bookmarkEnd w:id="25"/>
    <w:sectPr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num="1" w:space="708"/>
      <w:docGrid w:charSpace="0"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rPr>
        <w:rFonts w:cs="Arial"/>
        <w:sz w:val="16"/>
      </w:rPr>
    </w:pPr>
  </w:p>
  <w:p>
    <w:pPr>
      <w:pStyle w:val="22"/>
      <w:rPr>
        <w:rFonts w:cs="Arial"/>
        <w:sz w:val="16"/>
      </w:rPr>
    </w:pPr>
    <w:r>
      <w:rPr>
        <w:rFonts w:cs="Arial"/>
        <w:sz w:val="16"/>
      </w:rPr>
      <w:tab/>
    </w:r>
    <w:r>
      <w:rPr>
        <w:rFonts w:cs="Arial"/>
        <w:sz w:val="16"/>
      </w:rPr>
      <w:t xml:space="preserve">                                                                                                                                          </w:t>
    </w:r>
  </w:p>
  <w:p>
    <w:pPr>
      <w:ind w:left="4248" w:firstLine="708"/>
      <w:rPr>
        <w:rFonts w:hint="default" w:cs="Arial"/>
        <w:sz w:val="16"/>
        <w:lang w:val="es-ES"/>
      </w:rPr>
    </w:pPr>
  </w:p>
  <w:p>
    <w:pPr>
      <w:ind w:left="4248" w:firstLine="708"/>
      <w:rPr>
        <w:rFonts w:cs="Arial"/>
        <w:sz w:val="16"/>
      </w:rPr>
    </w:pPr>
  </w:p>
  <w:p>
    <w:pPr>
      <w:ind w:left="4248" w:firstLine="708"/>
      <w:rPr>
        <w:rFonts w:cs="Arial"/>
        <w:sz w:val="16"/>
      </w:rPr>
    </w:pPr>
  </w:p>
  <w:p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  <w:tbl>
    <w:tblPr>
      <w:tblStyle w:val="13"/>
      <w:tblW w:w="9498" w:type="dxa"/>
      <w:tblInd w:w="-214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70" w:type="dxa"/>
        <w:bottom w:w="0" w:type="dxa"/>
        <w:right w:w="70" w:type="dxa"/>
      </w:tblCellMar>
    </w:tblPr>
    <w:tblGrid>
      <w:gridCol w:w="2990"/>
      <w:gridCol w:w="2087"/>
      <w:gridCol w:w="2588"/>
      <w:gridCol w:w="1833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70" w:type="dxa"/>
          <w:bottom w:w="0" w:type="dxa"/>
          <w:right w:w="70" w:type="dxa"/>
        </w:tblCellMar>
      </w:tblPrEx>
      <w:trPr>
        <w:cantSplit/>
        <w:trHeight w:val="178" w:hRule="atLeast"/>
      </w:trPr>
      <w:tc>
        <w:tcPr>
          <w:tcW w:w="2540" w:type="dxa"/>
          <w:vMerge w:val="restart"/>
        </w:tcPr>
        <w:p>
          <w:pPr>
            <w:rPr>
              <w:rFonts w:cs="Arial"/>
            </w:rPr>
          </w:pPr>
        </w:p>
        <w:p>
          <w:pPr>
            <w:jc w:val="center"/>
            <w:rPr>
              <w:rFonts w:cs="Arial"/>
            </w:rPr>
          </w:pPr>
          <w:r>
            <w:drawing>
              <wp:inline distT="0" distB="0" distL="0" distR="0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>
          <w:pPr>
            <w:jc w:val="both"/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>
          <w:pPr>
            <w:jc w:val="both"/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70" w:type="dxa"/>
          <w:bottom w:w="0" w:type="dxa"/>
          <w:right w:w="70" w:type="dxa"/>
        </w:tblCellMar>
      </w:tblPrEx>
      <w:trPr>
        <w:cantSplit/>
        <w:trHeight w:val="498" w:hRule="atLeast"/>
      </w:trPr>
      <w:tc>
        <w:tcPr>
          <w:tcW w:w="2540" w:type="dxa"/>
          <w:vMerge w:val="continue"/>
        </w:tcPr>
        <w:p>
          <w:pPr>
            <w:jc w:val="both"/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>
          <w:pPr>
            <w:jc w:val="both"/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>Versión: v.s</w:t>
          </w:r>
        </w:p>
        <w:p>
          <w:pPr>
            <w:pStyle w:val="20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>Fecha: yyyy</w:t>
          </w:r>
          <w:r>
            <w:rPr>
              <w:rFonts w:cs="Arial"/>
              <w:i/>
              <w:sz w:val="16"/>
            </w:rPr>
            <w:t>-mm-dd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70" w:type="dxa"/>
          <w:bottom w:w="0" w:type="dxa"/>
          <w:right w:w="70" w:type="dxa"/>
        </w:tblCellMar>
      </w:tblPrEx>
      <w:trPr>
        <w:cantSplit/>
        <w:trHeight w:val="415" w:hRule="atLeast"/>
      </w:trPr>
      <w:tc>
        <w:tcPr>
          <w:tcW w:w="2540" w:type="dxa"/>
          <w:vMerge w:val="continue"/>
        </w:tcPr>
        <w:p>
          <w:pPr>
            <w:jc w:val="both"/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>Este documento es propiedad intelectual de Informática &amp; Tecnología Stefanini S.A., y está protegido por las leyes que sobre derechos  de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>
          <w:pPr>
            <w:jc w:val="both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70" w:type="dxa"/>
          <w:bottom w:w="0" w:type="dxa"/>
          <w:right w:w="70" w:type="dxa"/>
        </w:tblCellMar>
      </w:tblPrEx>
      <w:trPr>
        <w:cantSplit/>
        <w:trHeight w:val="257" w:hRule="atLeast"/>
      </w:trPr>
      <w:tc>
        <w:tcPr>
          <w:tcW w:w="4820" w:type="dxa"/>
          <w:gridSpan w:val="2"/>
          <w:vAlign w:val="center"/>
        </w:tcPr>
        <w:p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>
    <w:pPr>
      <w:pStyle w:val="20"/>
      <w:rPr>
        <w:lang w:val="es-ES"/>
      </w:rPr>
    </w:pPr>
  </w:p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zoom w:percent="110"/>
  <w:embedSystemFont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</w:settings>
</file>

<file path=word/styles.xml><?xml version="1.0" encoding="utf-8"?>
<w:style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psCustomData="http://www.wps.cn/officeDocument/2013/wpsCustomData" mc:Ignorable="w14">
  <w:docDefaults>
    <w:rPrDefault>
      <w:rPr>
        <w:rFonts w:ascii="Times New Roman" w:cs="Times New Roman" w:eastAsia="Times New Roman" w:hAnsi="Times New Roman"/>
      </w:rPr>
    </w:rPrDefault>
    <w:pPrDefault/>
  </w:docDefaults>
  <w:latentStyles w:count="260" w:defLockedState="0" w:defQFormat="0" w:defSemiHidden="1" w:defUIPriority="99" w:defUnhideWhenUsed="1">
    <w:lsdException w:name="Normal" w:qFormat="1" w:semiHidden="0" w:uiPriority="0" w:unhideWhenUsed="0"/>
    <w:lsdException w:name="heading 1" w:semiHidden="0" w:uiPriority="9" w:unhideWhenUsed="0"/>
    <w:lsdException w:name="heading 2" w:qFormat="1" w:semiHidden="0" w:uiPriority="9" w:unhideWhenUsed="0"/>
    <w:lsdException w:name="heading 3" w:semiHidden="0" w:uiPriority="9" w:unhideWhenUsed="0"/>
    <w:lsdException w:name="heading 4" w:semiHidden="0" w:uiPriority="9" w:unhideWhenUsed="0"/>
    <w:lsdException w:name="heading 5" w:semiHidden="0" w:uiPriority="9" w:unhideWhenUsed="0"/>
    <w:lsdException w:name="heading 6" w:qFormat="1" w:semiHidden="0" w:uiPriority="9" w:unhideWhenUsed="0"/>
    <w:lsdException w:name="heading 7" w:semiHidden="0" w:uiPriority="9" w:unhideWhenUsed="0"/>
    <w:lsdException w:name="heading 8" w:semiHidden="0" w:uiPriority="9" w:unhideWhenUsed="0"/>
    <w:lsdException w:name="heading 9" w:semiHidden="0" w:uiPriority="9" w:unhideWhenUsed="0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9" w:unhideWhenUsed="0"/>
    <w:lsdException w:name="annotation text" w:semiHidden="0" w:uiPriority="0" w:unhideWhenUsed="0"/>
    <w:lsdException w:name="header" w:qFormat="1" w:semiHidden="0" w:uiPriority="0" w:unhideWhenUsed="0"/>
    <w:lsdException w:name="footer" w:qFormat="1" w:semiHidden="0" w:uiPriority="0" w:unhideWhenUsed="0"/>
    <w:lsdException w:name="index heading" w:semiHidden="0" w:uiPriority="0" w:unhideWhenUsed="0"/>
    <w:lsdException w:name="caption" w:semiHidden="0" w:uiPriority="0" w:unhideWhenUsed="0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qFormat="1" w:semiHidden="0" w:uiPriority="0" w:unhideWhenUsed="0"/>
    <w:lsdException w:name="Closing" w:semiHidden="0" w:uiPriority="0" w:unhideWhenUsed="0"/>
    <w:lsdException w:name="Signature" w:semiHidden="0" w:uiPriority="0" w:unhideWhenUsed="0"/>
    <w:lsdException w:name="Default Paragraph Font" w:qFormat="1" w:uiPriority="1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qFormat="1" w:semiHidden="0" w:uiPriority="0" w:unhideWhenUsed="0"/>
    <w:lsdException w:name="Salutation" w:semiHidden="0" w:uiPriority="0" w:unhideWhenUsed="0"/>
    <w:lsdException w:name="Date" w:qFormat="1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9" w:unhideWhenUsed="0"/>
    <w:lsdException w:name="Hyperlink" w:semiHidden="0" w:uiPriority="0" w:unhideWhenUsed="0"/>
    <w:lsdException w:name="FollowedHyperlink" w:semiHidden="0" w:uiPriority="0" w:unhideWhenUsed="0"/>
    <w:lsdException w:name="Strong" w:qFormat="1" w:semiHidden="0" w:uiPriority="0" w:unhideWhenUsed="0"/>
    <w:lsdException w:name="Emphasis" w:qFormat="1" w:semiHidden="0" w:uiPriority="0" w:unhideWhenUsed="0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uiPriority="0"/>
    <w:lsdException w:name="HTML Preformatted" w:uiPriority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qFormat="1" w:uiPriority="99"/>
    <w:lsdException w:name="annotation subject" w:uiPriority="0"/>
    <w:lsdException w:name="Table Simple 1" w:uiPriority="0"/>
    <w:lsdException w:name="Table Simple 2" w:uiPriority="0"/>
    <w:lsdException w:name="Table Simple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Elegant" w:uiPriority="0"/>
    <w:lsdException w:name="Table Professional" w:uiPriority="0"/>
    <w:lsdException w:name="Table Subtle 1" w:uiPriority="0"/>
    <w:lsdException w:name="Table Subtle 2" w:uiPriority="0"/>
    <w:lsdException w:name="Table Web 1" w:uiPriority="0"/>
    <w:lsdException w:name="Table Web 2" w:uiPriority="0"/>
    <w:lsdException w:name="Table Web 3" w:uiPriority="0"/>
    <w:lsdException w:name="Balloon Text" w:qFormat="1" w:semiHidden="0" w:uiPriority="0" w:unhideWhenUsed="0"/>
    <w:lsdException w:name="Table Grid" w:semiHidden="0" w:uiPriority="0" w:unhideWhenUsed="0"/>
    <w:lsdException w:name="Table Theme" w:uiPriority="0"/>
  </w:latentStyles>
  <w:style w:default="1" w:styleId="1" w:type="paragraph">
    <w:name w:val="Normal"/>
    <w:qFormat/>
    <w:uiPriority w:val="0"/>
    <w:rPr>
      <w:rFonts w:ascii="Times New Roman" w:cs="Times New Roman" w:eastAsia="Times New Roman" w:hAnsi="Times New Roman"/>
      <w:sz w:val="24"/>
      <w:szCs w:val="24"/>
      <w:lang w:bidi="ar-SA" w:eastAsia="es-ES" w:val="es-ES"/>
    </w:rPr>
  </w:style>
  <w:style w:styleId="2" w:type="paragraph">
    <w:name w:val="heading 1"/>
    <w:basedOn w:val="1"/>
    <w:next w:val="3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4" w:type="paragraph">
    <w:name w:val="heading 2"/>
    <w:basedOn w:val="1"/>
    <w:next w:val="3"/>
    <w:qFormat/>
    <w:uiPriority w:val="9"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5" w:type="paragraph">
    <w:name w:val="heading 3"/>
    <w:basedOn w:val="1"/>
    <w:next w:val="3"/>
    <w:uiPriority w:val="9"/>
    <w:pPr>
      <w:keepNext/>
      <w:keepLines/>
      <w:outlineLvl w:val="2"/>
    </w:pPr>
    <w:rPr>
      <w:rFonts w:cstheme="majorBidi" w:eastAsiaTheme="majorEastAsia"/>
      <w:b/>
      <w:bCs/>
      <w:sz w:val="30"/>
      <w:szCs w:val="24"/>
    </w:rPr>
  </w:style>
  <w:style w:styleId="6" w:type="paragraph">
    <w:name w:val="heading 4"/>
    <w:basedOn w:val="1"/>
    <w:next w:val="3"/>
    <w:uiPriority w:val="9"/>
    <w:pPr>
      <w:keepNext/>
      <w:keepLines/>
      <w:outlineLvl w:val="3"/>
    </w:pPr>
    <w:rPr>
      <w:rFonts w:cstheme="majorBidi" w:eastAsiaTheme="majorEastAsia"/>
      <w:b/>
      <w:bCs/>
      <w:sz w:val="26"/>
      <w:szCs w:val="24"/>
    </w:rPr>
  </w:style>
  <w:style w:styleId="7" w:type="paragraph">
    <w:name w:val="heading 5"/>
    <w:basedOn w:val="1"/>
    <w:next w:val="3"/>
    <w:uiPriority w:val="9"/>
    <w:pPr>
      <w:keepNext/>
      <w:keepLines/>
      <w:outlineLvl w:val="4"/>
    </w:pPr>
    <w:rPr>
      <w:rFonts w:cstheme="majorBidi" w:eastAsiaTheme="majorEastAsia"/>
      <w:b/>
      <w:iCs/>
      <w:sz w:val="24"/>
      <w:szCs w:val="24"/>
    </w:rPr>
  </w:style>
  <w:style w:styleId="8" w:type="paragraph">
    <w:name w:val="heading 6"/>
    <w:basedOn w:val="1"/>
    <w:next w:val="3"/>
    <w:qFormat/>
    <w:uiPriority w:val="9"/>
    <w:pPr>
      <w:keepNext/>
      <w:keepLines/>
      <w:outlineLvl w:val="5"/>
    </w:pPr>
    <w:rPr>
      <w:rFonts w:cstheme="majorBidi" w:eastAsiaTheme="majorEastAsia"/>
      <w:b/>
      <w:szCs w:val="24"/>
    </w:rPr>
  </w:style>
  <w:style w:styleId="9" w:type="paragraph">
    <w:name w:val="heading 7"/>
    <w:basedOn w:val="1"/>
    <w:next w:val="3"/>
    <w:uiPriority w:val="9"/>
    <w:pPr>
      <w:keepNext/>
      <w:keepLines/>
      <w:outlineLvl w:val="6"/>
    </w:pPr>
    <w:rPr>
      <w:rFonts w:cstheme="majorBidi" w:eastAsiaTheme="majorEastAsia"/>
      <w:b/>
      <w:szCs w:val="24"/>
    </w:rPr>
  </w:style>
  <w:style w:styleId="10" w:type="paragraph">
    <w:name w:val="heading 8"/>
    <w:basedOn w:val="1"/>
    <w:next w:val="3"/>
    <w:uiPriority w:val="9"/>
    <w:pPr>
      <w:keepNext/>
      <w:keepLines/>
      <w:outlineLvl w:val="7"/>
    </w:pPr>
    <w:rPr>
      <w:rFonts w:cstheme="majorBidi" w:eastAsiaTheme="majorEastAsia"/>
      <w:b/>
      <w:szCs w:val="24"/>
    </w:rPr>
  </w:style>
  <w:style w:styleId="11" w:type="paragraph">
    <w:name w:val="heading 9"/>
    <w:basedOn w:val="1"/>
    <w:next w:val="3"/>
    <w:uiPriority w:val="9"/>
    <w:pPr>
      <w:keepNext/>
      <w:keepLines/>
      <w:outlineLvl w:val="8"/>
    </w:pPr>
    <w:rPr>
      <w:rFonts w:cstheme="majorBidi" w:eastAsiaTheme="majorEastAsia"/>
      <w:b/>
      <w:szCs w:val="24"/>
    </w:rPr>
  </w:style>
  <w:style w:default="1" w:styleId="12" w:type="character">
    <w:name w:val="Default Paragraph Font"/>
    <w:semiHidden/>
    <w:unhideWhenUsed/>
    <w:qFormat/>
    <w:uiPriority w:val="1"/>
  </w:style>
  <w:style w:default="1" w:styleId="13" w:type="table">
    <w:name w:val="Normal Table"/>
    <w:semiHidden/>
    <w:unhideWhenUsed/>
    <w:qFormat/>
    <w:uiPriority w:val="99"/>
    <w:tblPr>
      <w:tblCellMar>
        <w:top w:type="dxa" w:w="0"/>
        <w:left w:type="dxa" w:w="108"/>
        <w:bottom w:type="dxa" w:w="0"/>
        <w:right w:type="dxa" w:w="108"/>
      </w:tblCellMar>
    </w:tblPr>
  </w:style>
  <w:style w:styleId="3" w:type="paragraph">
    <w:name w:val="Body Text"/>
    <w:basedOn w:val="1"/>
    <w:uiPriority w:val="0"/>
  </w:style>
  <w:style w:styleId="14" w:type="character">
    <w:name w:val="footnote reference"/>
    <w:basedOn w:val="15"/>
    <w:uiPriority w:val="0"/>
    <w:rPr>
      <w:vertAlign w:val="superscript"/>
    </w:rPr>
  </w:style>
  <w:style w:customStyle="1" w:styleId="15" w:type="character">
    <w:name w:val="Descripción Car"/>
    <w:basedOn w:val="12"/>
    <w:link w:val="16"/>
    <w:uiPriority w:val="0"/>
    <w:rPr>
      <w:i/>
    </w:rPr>
  </w:style>
  <w:style w:styleId="16" w:type="paragraph">
    <w:name w:val="caption"/>
    <w:basedOn w:val="1"/>
    <w:next w:val="1"/>
    <w:link w:val="15"/>
    <w:uiPriority w:val="0"/>
    <w:pPr>
      <w:spacing w:after="120" w:before="0"/>
    </w:pPr>
    <w:rPr>
      <w:i/>
    </w:rPr>
  </w:style>
  <w:style w:styleId="17" w:type="character">
    <w:name w:val="Hyperlink"/>
    <w:basedOn w:val="15"/>
    <w:uiPriority w:val="0"/>
    <w:rPr>
      <w:rFonts w:ascii="Arial" w:hAnsi="Arial"/>
      <w:i w:val="0"/>
      <w:color w:val="0000FF"/>
      <w:sz w:val="22"/>
      <w:u w:val="single"/>
    </w:rPr>
  </w:style>
  <w:style w:styleId="18" w:type="paragraph">
    <w:name w:val="footnote text"/>
    <w:basedOn w:val="1"/>
    <w:uiPriority w:val="9"/>
  </w:style>
  <w:style w:styleId="19" w:type="paragraph">
    <w:name w:val="Balloon Text"/>
    <w:basedOn w:val="1"/>
    <w:link w:val="27"/>
    <w:qFormat/>
    <w:uiPriority w:val="0"/>
    <w:rPr>
      <w:rFonts w:ascii="Tahoma" w:cs="Tahoma" w:hAnsi="Tahoma"/>
      <w:sz w:val="16"/>
      <w:szCs w:val="16"/>
    </w:rPr>
  </w:style>
  <w:style w:styleId="20" w:type="paragraph">
    <w:name w:val="header"/>
    <w:basedOn w:val="1"/>
    <w:qFormat/>
    <w:uiPriority w:val="0"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21" w:type="paragraph">
    <w:name w:val="Date"/>
    <w:basedOn w:val="1"/>
    <w:next w:val="3"/>
    <w:qFormat/>
    <w:uiPriority w:val="0"/>
    <w:pPr>
      <w:keepNext/>
      <w:keepLines/>
      <w:jc w:val="center"/>
    </w:pPr>
  </w:style>
  <w:style w:styleId="22" w:type="paragraph">
    <w:name w:val="footer"/>
    <w:basedOn w:val="1"/>
    <w:qFormat/>
    <w:uiPriority w:val="0"/>
    <w:pPr>
      <w:tabs>
        <w:tab w:pos="4419" w:val="center"/>
        <w:tab w:pos="8838" w:val="right"/>
      </w:tabs>
    </w:pPr>
  </w:style>
  <w:style w:styleId="23" w:type="paragraph">
    <w:name w:val="Subtitle"/>
    <w:basedOn w:val="24"/>
    <w:next w:val="3"/>
    <w:qFormat/>
    <w:uiPriority w:val="0"/>
    <w:rPr>
      <w:sz w:val="36"/>
      <w:szCs w:val="30"/>
    </w:rPr>
  </w:style>
  <w:style w:styleId="24" w:type="paragraph">
    <w:name w:val="Title"/>
    <w:basedOn w:val="1"/>
    <w:next w:val="3"/>
    <w:qFormat/>
    <w:uiPriority w:val="0"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25" w:type="paragraph">
    <w:name w:val="Block Text"/>
    <w:basedOn w:val="3"/>
    <w:next w:val="3"/>
    <w:uiPriority w:val="9"/>
    <w:pPr>
      <w:ind w:left="360" w:right="360"/>
    </w:pPr>
  </w:style>
  <w:style w:styleId="26" w:type="table">
    <w:name w:val="Table Simple 2"/>
    <w:basedOn w:val="13"/>
    <w:semiHidden/>
    <w:unhideWhenUsed/>
    <w:uiPriority w:val="0"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27" w:type="character">
    <w:name w:val="Texto de globo Car"/>
    <w:link w:val="19"/>
    <w:uiPriority w:val="0"/>
    <w:rPr>
      <w:rFonts w:ascii="Tahoma" w:cs="Tahoma" w:hAnsi="Tahoma"/>
      <w:sz w:val="16"/>
      <w:szCs w:val="16"/>
      <w:lang w:eastAsia="es-ES" w:val="es-ES"/>
    </w:rPr>
  </w:style>
  <w:style w:customStyle="1" w:styleId="28" w:type="paragraph">
    <w:name w:val="Default"/>
    <w:qFormat/>
    <w:uiPriority w:val="0"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bidi="ar-SA" w:eastAsia="en-US" w:val="es-CO"/>
    </w:rPr>
  </w:style>
  <w:style w:customStyle="1" w:styleId="29" w:type="paragraph">
    <w:name w:val="Author"/>
    <w:basedOn w:val="1"/>
    <w:next w:val="3"/>
    <w:uiPriority w:val="0"/>
    <w:pPr>
      <w:keepNext/>
      <w:keepLines/>
      <w:jc w:val="center"/>
    </w:pPr>
  </w:style>
  <w:style w:customStyle="1" w:styleId="30" w:type="paragraph">
    <w:name w:val="Abstract"/>
    <w:basedOn w:val="1"/>
    <w:next w:val="3"/>
    <w:uiPriority w:val="0"/>
    <w:pPr>
      <w:keepNext/>
      <w:keepLines/>
    </w:pPr>
    <w:rPr>
      <w:szCs w:val="20"/>
    </w:rPr>
  </w:style>
  <w:style w:customStyle="1" w:styleId="31" w:type="paragraph">
    <w:name w:val="First Paragraph"/>
    <w:basedOn w:val="3"/>
    <w:next w:val="3"/>
    <w:uiPriority w:val="0"/>
  </w:style>
  <w:style w:customStyle="1" w:styleId="32" w:type="character">
    <w:name w:val="Verbatim Char"/>
    <w:basedOn w:val="15"/>
    <w:uiPriority w:val="0"/>
    <w:rPr>
      <w:rFonts w:ascii="Courier New" w:hAnsi="Courier New"/>
      <w:i w:val="0"/>
      <w:sz w:val="22"/>
    </w:rPr>
  </w:style>
  <w:style w:customStyle="1" w:styleId="33" w:type="paragraph">
    <w:name w:val="Table Caption"/>
    <w:basedOn w:val="16"/>
    <w:uiPriority w:val="0"/>
    <w:pPr>
      <w:keepNext/>
    </w:pPr>
  </w:style>
  <w:style w:customStyle="1" w:styleId="34" w:type="paragraph">
    <w:name w:val="Compact"/>
    <w:basedOn w:val="3"/>
    <w:qFormat/>
    <w:uiPriority w:val="0"/>
    <w:pPr>
      <w:spacing w:after="36" w:before="36"/>
    </w:pPr>
  </w:style>
  <w:style w:customStyle="1" w:styleId="35" w:type="table">
    <w:name w:val="Table"/>
    <w:basedOn w:val="26"/>
    <w:semiHidden/>
    <w:unhideWhenUsed/>
    <w:qFormat/>
    <w:uiPriority w:val="0"/>
    <w:rPr>
      <w:rFonts w:ascii="Arial" w:hAnsi="Arial"/>
      <w:sz w:val="20"/>
      <w:szCs w:val="20"/>
      <w:lang w:eastAsia="es-CO" w:val="es-CO"/>
    </w:rPr>
    <w:tblPr>
      <w:tblBorders>
        <w:top w:color="F1F1F1" w:space="0" w:sz="4" w:themeColor="background1" w:themeShade="F2" w:val="single"/>
        <w:left w:color="F1F1F1" w:space="0" w:sz="4" w:themeColor="background1" w:themeShade="F2" w:val="single"/>
        <w:bottom w:color="F1F1F1" w:space="0" w:sz="4" w:themeColor="background1" w:themeShade="F2" w:val="single"/>
        <w:right w:color="F1F1F1" w:space="0" w:sz="4" w:themeColor="background1" w:themeShade="F2" w:val="single"/>
        <w:insideH w:color="F1F1F1" w:space="0" w:sz="4" w:themeColor="background1" w:themeShade="F2" w:val="single"/>
        <w:insideV w:color="F1F1F1" w:space="0" w:sz="4" w:themeColor="background1" w:themeShade="F2" w:val="single"/>
      </w:tblBorders>
    </w:tblPr>
    <w:tcPr>
      <w:shd w:color="auto" w:fill="F1F1F1" w:themeFill="background1" w:themeFillShade="F2" w:val="clear"/>
    </w:tcPr>
    <w:tblStylePr w:type="firstRow">
      <w:pPr>
        <w:wordWrap/>
        <w:jc w:val="center"/>
      </w:pPr>
      <w:rPr>
        <w:b/>
        <w:bCs/>
      </w:rPr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cPr>
        <w:tcBorders>
          <w:top w:val="nil"/>
          <w:tl2br w:val="nil"/>
          <w:tr2bl w:val="nil"/>
        </w:tcBorders>
      </w:tcPr>
    </w:tblStylePr>
  </w:style>
  <w:style w:customStyle="1" w:styleId="36" w:type="paragraph">
    <w:name w:val="Image Caption"/>
    <w:basedOn w:val="16"/>
    <w:uiPriority w:val="0"/>
  </w:style>
  <w:style w:customStyle="1" w:styleId="37" w:type="paragraph">
    <w:name w:val="Definition Term"/>
    <w:basedOn w:val="1"/>
    <w:next w:val="38"/>
    <w:uiPriority w:val="0"/>
    <w:rPr>
      <w:b/>
    </w:rPr>
  </w:style>
  <w:style w:customStyle="1" w:styleId="38" w:type="paragraph">
    <w:name w:val="Definition"/>
    <w:basedOn w:val="1"/>
    <w:uiPriority w:val="0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Company>Informática &amp; Tecnología Ltda</Company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2023-01-10T22:48:39Z</dcterms:created>
  <dcterms:modified xsi:type="dcterms:W3CDTF">2023-01-10T22:48:39Z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