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contenido-de-los-productos-del-alcance"/>
    <w:p>
      <w:pPr>
        <w:pStyle w:val="Ttulo1"/>
      </w:pPr>
      <w:r>
        <w:t xml:space="preserve">Contenido de los Productos del Alcance</w:t>
      </w:r>
    </w:p>
    <w:bookmarkEnd w:id="21"/>
    <w:bookmarkStart w:id="25" w:name="producto-1-pr1.-soa-actual"/>
    <w:p>
      <w:pPr>
        <w:pStyle w:val="Ttulo1"/>
      </w:pPr>
      <w:r>
        <w:t xml:space="preserve">Producto 1: PR1. SOA Actual</w:t>
      </w:r>
    </w:p>
    <w:p>
      <w:pPr>
        <w:pStyle w:val="FirstParagraph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tecnológoca actual en donde destacan los sistemas de información (aplicaciones) críticas para el negocio, los servicios SOA y las tecnologías y proveedores que operan en el Fondo.</w:t>
      </w: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arquitectura, organizada por vistas, se convierte en un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Funcional Actual</w:t>
      </w:r>
    </w:p>
    <w:p>
      <w:pPr>
        <w:numPr>
          <w:ilvl w:val="1"/>
          <w:numId w:val="1002"/>
        </w:numPr>
        <w:pStyle w:val="Compact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02"/>
        </w:numPr>
        <w:pStyle w:val="Compact"/>
      </w:pPr>
      <w:r>
        <w:t xml:space="preserve">Vista de Segmento del ejercicio SOA del FNA</w:t>
      </w:r>
    </w:p>
    <w:p>
      <w:pPr>
        <w:numPr>
          <w:ilvl w:val="1"/>
          <w:numId w:val="1002"/>
        </w:numPr>
        <w:pStyle w:val="Compact"/>
      </w:pPr>
      <w:r>
        <w:t xml:space="preserve">Catálogo de servicios (blueprint) seleccionados FNA</w:t>
      </w:r>
    </w:p>
    <w:p>
      <w:pPr>
        <w:numPr>
          <w:ilvl w:val="2"/>
          <w:numId w:val="1003"/>
        </w:numPr>
        <w:pStyle w:val="Compact"/>
      </w:pPr>
      <w:r>
        <w:t xml:space="preserve">Áreas objeto del diagnóstico SOA</w:t>
      </w:r>
    </w:p>
    <w:p>
      <w:pPr>
        <w:numPr>
          <w:ilvl w:val="2"/>
          <w:numId w:val="1003"/>
        </w:numPr>
        <w:pStyle w:val="Compact"/>
      </w:pPr>
      <w:r>
        <w:t xml:space="preserve">Capacidades de negocio FNA relacionadas con servicios SOA</w:t>
      </w:r>
    </w:p>
    <w:p>
      <w:pPr>
        <w:numPr>
          <w:ilvl w:val="2"/>
          <w:numId w:val="1003"/>
        </w:numPr>
        <w:pStyle w:val="Compact"/>
      </w:pPr>
      <w:r>
        <w:t xml:space="preserve">Sistemas de información, aplicaciones y servicios</w:t>
      </w:r>
    </w:p>
    <w:p>
      <w:pPr>
        <w:numPr>
          <w:ilvl w:val="2"/>
          <w:numId w:val="1003"/>
        </w:numPr>
        <w:pStyle w:val="Compact"/>
      </w:pPr>
      <w:r>
        <w:t xml:space="preserve">Tipos de Servicios / Distribución de servicios SOA por tipo</w:t>
      </w:r>
    </w:p>
    <w:p>
      <w:pPr>
        <w:numPr>
          <w:ilvl w:val="1"/>
          <w:numId w:val="1002"/>
        </w:numPr>
        <w:pStyle w:val="Compact"/>
      </w:pPr>
      <w:r>
        <w:t xml:space="preserve">Servicios independientes (FNA debería tener)</w:t>
      </w:r>
    </w:p>
    <w:p>
      <w:pPr>
        <w:numPr>
          <w:ilvl w:val="1"/>
          <w:numId w:val="1002"/>
        </w:numPr>
        <w:pStyle w:val="Compact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02"/>
        </w:numPr>
        <w:pStyle w:val="Compact"/>
      </w:pPr>
      <w:r>
        <w:t xml:space="preserve">Arquitectura de referencia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Información actual</w:t>
      </w:r>
    </w:p>
    <w:p>
      <w:pPr>
        <w:numPr>
          <w:ilvl w:val="1"/>
          <w:numId w:val="1004"/>
        </w:numPr>
        <w:pStyle w:val="Compact"/>
      </w:pPr>
      <w:r>
        <w:t xml:space="preserve">Portafolio de aplicaciones y proveedores</w:t>
      </w:r>
    </w:p>
    <w:p>
      <w:pPr>
        <w:numPr>
          <w:ilvl w:val="1"/>
          <w:numId w:val="1004"/>
        </w:numPr>
        <w:pStyle w:val="Compact"/>
      </w:pPr>
      <w:r>
        <w:t xml:space="preserve">Inventario de fuentes de datos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Integración actual</w:t>
      </w:r>
    </w:p>
    <w:p>
      <w:pPr>
        <w:numPr>
          <w:ilvl w:val="1"/>
          <w:numId w:val="1005"/>
        </w:numPr>
        <w:pStyle w:val="Compact"/>
      </w:pPr>
      <w:r>
        <w:t xml:space="preserve">Matriz de intercambio de información crítica del negocio</w:t>
      </w:r>
    </w:p>
    <w:p>
      <w:pPr>
        <w:numPr>
          <w:ilvl w:val="1"/>
          <w:numId w:val="1005"/>
        </w:numPr>
        <w:pStyle w:val="Compact"/>
      </w:pPr>
      <w:r>
        <w:t xml:space="preserve">Entidades de negocio (información y datos) relacionadas en la integración</w:t>
      </w:r>
    </w:p>
    <w:p>
      <w:pPr>
        <w:numPr>
          <w:ilvl w:val="1"/>
          <w:numId w:val="1005"/>
        </w:numPr>
        <w:pStyle w:val="Compact"/>
      </w:pPr>
      <w:r>
        <w:t xml:space="preserve">Conectores y servicios de integración</w:t>
      </w:r>
    </w:p>
    <w:p>
      <w:pPr>
        <w:numPr>
          <w:ilvl w:val="1"/>
          <w:numId w:val="1005"/>
        </w:numPr>
        <w:pStyle w:val="Compact"/>
      </w:pPr>
      <w:r>
        <w:t xml:space="preserve">Inventario de servicios por tipo (negocio, utilitarios, datos… )</w:t>
      </w:r>
    </w:p>
    <w:p>
      <w:pPr>
        <w:numPr>
          <w:ilvl w:val="1"/>
          <w:numId w:val="1005"/>
        </w:numPr>
        <w:pStyle w:val="Compact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05"/>
        </w:numPr>
        <w:pStyle w:val="Compact"/>
      </w:pPr>
      <w:r>
        <w:t xml:space="preserve">Interrelación Entre Servicios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Tecnológica actual</w:t>
      </w:r>
    </w:p>
    <w:p>
      <w:pPr>
        <w:numPr>
          <w:ilvl w:val="1"/>
          <w:numId w:val="1006"/>
        </w:numPr>
        <w:pStyle w:val="Compact"/>
      </w:pPr>
      <w:r>
        <w:t xml:space="preserve">Listado tecnológico del inventario de servicios</w:t>
      </w:r>
    </w:p>
    <w:p>
      <w:pPr>
        <w:numPr>
          <w:ilvl w:val="0"/>
          <w:numId w:val="1001"/>
        </w:numPr>
        <w:pStyle w:val="Compact"/>
      </w:pPr>
      <w:r>
        <w:t xml:space="preserve">Presentación del Método para el Análisis de Madurez SOA del FNA</w:t>
      </w:r>
    </w:p>
    <w:p>
      <w:pPr>
        <w:numPr>
          <w:ilvl w:val="1"/>
          <w:numId w:val="1007"/>
        </w:numPr>
        <w:pStyle w:val="Compact"/>
      </w:pPr>
      <w:r>
        <w:t xml:space="preserve">Cuestionarios de los objetivos del análisis</w:t>
      </w:r>
    </w:p>
    <w:p>
      <w:pPr>
        <w:numPr>
          <w:ilvl w:val="1"/>
          <w:numId w:val="1007"/>
        </w:numPr>
        <w:pStyle w:val="Compact"/>
      </w:pPr>
      <w:r>
        <w:t xml:space="preserve">Dimensiones del análisis (OSIMM)</w:t>
      </w:r>
    </w:p>
    <w:p>
      <w:pPr>
        <w:numPr>
          <w:ilvl w:val="1"/>
          <w:numId w:val="1007"/>
        </w:numPr>
        <w:pStyle w:val="Compact"/>
      </w:pPr>
      <w:r>
        <w:t xml:space="preserve">Herramienta de diagnóstico de nivel de madurez SOA</w:t>
      </w: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8"/>
        </w:numPr>
        <w:pStyle w:val="Compact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08"/>
        </w:numPr>
        <w:pStyle w:val="Compact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173</TotalTime>
  <Pages>4</Pages>
  <Words>288</Words>
  <Characters>1589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2023-01-11T22:18:24Z</dcterms:created>
  <dcterms:modified xsi:type="dcterms:W3CDTF">2023-01-11T22:18:24Z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