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6497aef del 30 Jun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8"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SOA del Fondo Nacional del Ahorro (en adelante FNA). Por tanto, funciona a la vez como una arquitectura de referencia a la que hay que fortalecer, comparar, desarrollar y vigilar.</w:t>
      </w:r>
    </w:p>
    <w:p>
      <w:pPr>
        <w:pStyle w:val="Figure"/>
      </w:pPr>
      <w:r>
        <w:drawing>
          <wp:inline>
            <wp:extent cx="5600700" cy="3191063"/>
            <wp:effectExtent b="0" l="0" r="0" t="0"/>
            <wp:docPr descr="" title="" id="23" name="Picture"/>
            <a:graphic>
              <a:graphicData uri="http://schemas.openxmlformats.org/drawingml/2006/picture">
                <pic:pic>
                  <pic:nvPicPr>
                    <pic:cNvPr descr="images/vistafuncional.png" id="24" name="Picture"/>
                    <pic:cNvPicPr>
                      <a:picLocks noChangeArrowheads="1" noChangeAspect="1"/>
                    </pic:cNvPicPr>
                  </pic:nvPicPr>
                  <pic:blipFill>
                    <a:blip r:embed="rId22"/>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del proveedor</w:t>
      </w:r>
      <w:r>
        <w:t xml:space="preserve"> </w:t>
      </w:r>
      <w:r>
        <w:t xml:space="preserve">que soportan a las áreas del FNA objeto de este diagnóstico. Por esta razón, esta vista sirve también como instrumento para</w:t>
      </w:r>
      <w:r>
        <w:t xml:space="preserve"> </w:t>
      </w:r>
      <w:r>
        <w:rPr>
          <w:iCs/>
          <w:i/>
        </w:rPr>
        <w:t xml:space="preserve">controlar la alineación del portafolio de servicios con las áreas de negocio de la empresa FNA</w:t>
      </w:r>
      <w:r>
        <w:t xml:space="preserve"> </w:t>
      </w:r>
      <w:r>
        <w:t xml:space="preserve">objeto de este diagnóstico. Con la vista funcional SOA podremos más adelante soportar a las áreas y a los requerimientos claves del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26">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Una vez mostramos las capacidades SOA que soportan a las áreas de negocio objeto de este diagnóstico, el ejercicio siguiente es listar los conectores necesarios para articular estas capacidades. Esta vista debemos intersectarla con la vista de segmento de la empresa (</w:t>
      </w:r>
      <w:hyperlink r:id="rId27">
        <w:r>
          <w:rPr>
            <w:rStyle w:val="Hipervnculo"/>
          </w:rPr>
          <w:t xml:space="preserve">01a2.Vista Segmento SOA FNA</w:t>
        </w:r>
      </w:hyperlink>
      <w:r>
        <w:t xml:space="preserve">) para desarrollar las partes del FNA con la que vamos a dar cumplimiento a esta arquitectura de referencia.</w:t>
      </w:r>
    </w:p>
    <w:p>
      <w:pPr>
        <w:pStyle w:val="Textoindependiente"/>
      </w:pPr>
    </w:p>
    <w:bookmarkEnd w:id="28"/>
    <w:bookmarkStart w:id="32"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r>
        <w:drawing>
          <wp:inline>
            <wp:extent cx="5600700" cy="1954013"/>
            <wp:effectExtent b="0" l="0" r="0" t="0"/>
            <wp:docPr descr="" title="" id="30" name="Picture"/>
            <a:graphic>
              <a:graphicData uri="http://schemas.openxmlformats.org/drawingml/2006/picture">
                <pic:pic>
                  <pic:nvPicPr>
                    <pic:cNvPr descr="images/conectores.png" id="31" name="Picture"/>
                    <pic:cNvPicPr>
                      <a:picLocks noChangeArrowheads="1" noChangeAspect="1"/>
                    </pic:cNvPicPr>
                  </pic:nvPicPr>
                  <pic:blipFill>
                    <a:blip r:embed="rId29"/>
                    <a:stretch>
                      <a:fillRect/>
                    </a:stretch>
                  </pic:blipFill>
                  <pic:spPr bwMode="auto">
                    <a:xfrm>
                      <a:off x="0" y="0"/>
                      <a:ext cx="5600700" cy="1954013"/>
                    </a:xfrm>
                    <a:prstGeom prst="rect">
                      <a:avLst/>
                    </a:prstGeom>
                    <a:noFill/>
                    <a:ln w="9525">
                      <a:noFill/>
                      <a:headEnd/>
                      <a:tailEnd/>
                    </a:ln>
                  </pic:spPr>
                </pic:pic>
              </a:graphicData>
            </a:graphic>
          </wp:inline>
        </w:drawing>
      </w:r>
    </w:p>
    <w:p>
      <w:pPr>
        <w:pStyle w:val="Textoindependiente"/>
      </w:pPr>
      <w:hyperlink r:id="rId25">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p>
      <w:pPr>
        <w:pStyle w:val="Textoindependiente"/>
      </w:pPr>
      <w:r>
        <w:rPr>
          <w:bCs/>
          <w:b/>
        </w:rPr>
        <w:t xml:space="preserve">Importante</w:t>
      </w:r>
      <w:r>
        <w:t xml:space="preserve">. Los modelos del FNA carecen de información de los conectores entre las capacidades de negocio del FNA. Esto impacta la manera cómo una capacidad soporta a otra, a la vez que dificulta controlar las tecnologías y estándares involucradas en tales conexiones.</w:t>
      </w:r>
    </w:p>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7" Target="01a2.Vista%20Segmento%20SOA%20FNA" TargetMode="External" /><Relationship Type="http://schemas.openxmlformats.org/officeDocument/2006/relationships/hyperlink" Id="rId26" Target="N003a%20Vista.md" TargetMode="Externa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2023-06-30T12:30:42Z</dcterms:created>
  <dcterms:modified xsi:type="dcterms:W3CDTF">2023-06-30T12:30:42Z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