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86f6b3b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X9715517bea40dc40451767edf26308fb5686eca"/>
    <w:p>
      <w:pPr>
        <w:pStyle w:val="Ttulo2"/>
      </w:pPr>
      <w:r>
        <w:t xml:space="preserve">Procesos del FNA relacionados con Servicios del FNA Objeto del Diagnóstico SOA</w:t>
      </w:r>
    </w:p>
    <w:p>
      <w:pPr>
        <w:pStyle w:val="FirstParagraph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realidad probable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Figure"/>
      </w:pPr>
      <w:r>
        <w:drawing>
          <wp:inline>
            <wp:extent cx="5600700" cy="907539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RelacionProcesosServicio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07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Textoindependiente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p>
      <w:pPr>
        <w:pStyle w:val="Textoindependiente"/>
      </w:pPr>
      <w:r>
        <w:t xml:space="preserve">Para ejemplificar las relaciones de los procesos con las aplicaciones, tomaremos el proceso Facturación y Cartera para listar las aplicaciones implicadas con este.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Abogados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Bogotá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Occidente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Sudameris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Bancolombia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Cadena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Colpatria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Davivienda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Helm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Aportes En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Asopagos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Enlace Operativo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Mi Planilla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Simple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SuRed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Garantías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Contingencia Banco de la Republica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Ecollect/Avisor/PSE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Relaciones del proceso Facturación y Cartera del FNA.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bookmarkStart w:id="24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Las siguientes aplicaciones del Fondo no tienen relación con procesos, aparecen</w:t>
      </w:r>
      <w:r>
        <w:t xml:space="preserve"> </w:t>
      </w:r>
      <w:r>
        <w:t xml:space="preserve">“</w:t>
      </w:r>
      <w:r>
        <w:t xml:space="preserve">en blanco</w:t>
      </w:r>
      <w:r>
        <w:t xml:space="preserve">”</w:t>
      </w:r>
      <w:r>
        <w:t xml:space="preserve"> </w:t>
      </w:r>
      <w:r>
        <w:t xml:space="preserve">en la tabla anterior y en el modelo analizado:</w:t>
      </w:r>
      <w:r>
        <w:t xml:space="preserve"> </w:t>
      </w:r>
      <w:r>
        <w:rPr>
          <w:iCs/>
          <w:i/>
        </w:rPr>
        <w:t xml:space="preserve">InventarioAplicacionesFNA.xlsx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GoAnyWhere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ERP 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Autenticación IVR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Empresarial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REC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Referencias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VisualBatch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 vivienda en linea / Vitrina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Apliaciones del FNA sin relaciones con procesos.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2023-01-17T16:46:03Z</dcterms:created>
  <dcterms:modified xsi:type="dcterms:W3CDTF">2023-01-17T16:46:03Z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