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2a8f1ac del 19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 (</w:t>
      </w:r>
      <w:r>
        <w:rPr>
          <w:iCs/>
          <w:i/>
        </w:rPr>
        <w:t xml:space="preserve">330 integraciones</w:t>
      </w:r>
      <w:r>
        <w:t xml:space="preserve">), como con los casos de uso de integraciones no identificados, que asicenden a</w:t>
      </w:r>
      <w:r>
        <w:t xml:space="preserve"> </w:t>
      </w:r>
      <w:r>
        <w:rPr>
          <w:iCs/>
          <w:i/>
        </w:rPr>
        <w:t xml:space="preserve">273 integraciones sin caso</w:t>
      </w:r>
      <w:r>
        <w:t xml:space="preserve">, según los modelos analizados.</w:t>
      </w:r>
    </w:p>
    <w:tbl>
      <w:tblPr>
        <w:tblStyle w:val="Table"/>
        <w:tblW w:type="pct" w:w="5000"/>
        <w:tblLook w:firstRow="1" w:lastRow="0" w:firstColumn="0" w:lastColumn="0" w:noHBand="0" w:noVBand="0" w:val="0020"/>
      </w:tblPr>
      <w:tblGrid>
        <w:gridCol w:w="6352"/>
        <w:gridCol w:w="1567"/>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t xml:space="preserve"> </w:t>
      </w:r>
      <w:r>
        <w:rPr>
          <w:bCs/>
          <w:b/>
        </w:rPr>
        <w:t xml:space="preserve">Aplicación Origen</w:t>
      </w:r>
      <w:r>
        <w:t xml:space="preserve"> </w:t>
      </w:r>
      <w:r>
        <w:t xml:space="preserve">|</w:t>
      </w:r>
      <w:r>
        <w:t xml:space="preserve"> </w:t>
      </w:r>
      <w:r>
        <w:rPr>
          <w:bCs/>
          <w:b/>
        </w:rPr>
        <w:t xml:space="preserve">Integraciones Salientes</w:t>
      </w:r>
      <w:r>
        <w:t xml:space="preserve"> </w:t>
      </w:r>
      <w:r>
        <w:t xml:space="preserve">|</w:t>
      </w:r>
      <w:r>
        <w:t xml:space="preserve"> </w:t>
      </w:r>
      <w:r>
        <w:t xml:space="preserve">|—————————————|—————————–|</w:t>
      </w:r>
      <w:r>
        <w:t xml:space="preserve"> </w:t>
      </w:r>
      <w:r>
        <w:t xml:space="preserve">| AA074 - Fondo En Línea Personal |</w:t>
      </w:r>
      <w:r>
        <w:t xml:space="preserve"> </w:t>
      </w:r>
      <w:r>
        <w:rPr>
          <w:bCs/>
          <w:b/>
        </w:rPr>
        <w:t xml:space="preserve">60</w:t>
      </w:r>
      <w:r>
        <w:t xml:space="preserve"> </w:t>
      </w:r>
      <w:r>
        <w:t xml:space="preserve">|</w:t>
      </w:r>
      <w:r>
        <w:t xml:space="preserve"> </w:t>
      </w:r>
      <w:r>
        <w:t xml:space="preserve">| AA006 - COBIS Trámites |</w:t>
      </w:r>
      <w:r>
        <w:t xml:space="preserve"> </w:t>
      </w:r>
      <w:r>
        <w:rPr>
          <w:bCs/>
          <w:b/>
        </w:rPr>
        <w:t xml:space="preserve">33</w:t>
      </w:r>
      <w:r>
        <w:t xml:space="preserve"> </w:t>
      </w:r>
      <w:r>
        <w:t xml:space="preserve">|</w:t>
      </w:r>
      <w:r>
        <w:t xml:space="preserve"> </w:t>
      </w:r>
      <w:r>
        <w:t xml:space="preserve">| AA085 - Aplicación Movil CX |</w:t>
      </w:r>
      <w:r>
        <w:t xml:space="preserve"> </w:t>
      </w:r>
      <w:r>
        <w:rPr>
          <w:bCs/>
          <w:b/>
        </w:rPr>
        <w:t xml:space="preserve">27</w:t>
      </w:r>
      <w:r>
        <w:t xml:space="preserve"> </w:t>
      </w:r>
      <w:r>
        <w:t xml:space="preserve">|</w:t>
      </w:r>
      <w:r>
        <w:t xml:space="preserve"> </w:t>
      </w:r>
      <w:r>
        <w:t xml:space="preserve">| AA071 - Kioscos |</w:t>
      </w:r>
      <w:r>
        <w:t xml:space="preserve"> </w:t>
      </w:r>
      <w:r>
        <w:rPr>
          <w:bCs/>
          <w:b/>
        </w:rPr>
        <w:t xml:space="preserve">22</w:t>
      </w:r>
      <w:r>
        <w:t xml:space="preserve"> </w:t>
      </w:r>
      <w:r>
        <w:t xml:space="preserve">|</w:t>
      </w:r>
      <w:r>
        <w:t xml:space="preserve"> </w:t>
      </w:r>
      <w:r>
        <w:t xml:space="preserve">| AA002 - COBIS Ahorro Voluntario |</w:t>
      </w:r>
      <w:r>
        <w:t xml:space="preserve"> </w:t>
      </w:r>
      <w:r>
        <w:rPr>
          <w:bCs/>
          <w:b/>
        </w:rPr>
        <w:t xml:space="preserve">20</w:t>
      </w:r>
      <w:r>
        <w:t xml:space="preserve"> </w:t>
      </w:r>
      <w:r>
        <w:t xml:space="preserve">|</w:t>
      </w:r>
      <w:r>
        <w:t xml:space="preserve"> </w:t>
      </w:r>
      <w:r>
        <w:t xml:space="preserve">| AA003 - COBIS Cesantias | 14 |</w:t>
      </w:r>
      <w:r>
        <w:t xml:space="preserve"> </w:t>
      </w:r>
      <w:r>
        <w:t xml:space="preserve">| AA005 - COBIS Cartera | 14 |</w:t>
      </w:r>
      <w:r>
        <w:t xml:space="preserve"> </w:t>
      </w:r>
      <w:r>
        <w:t xml:space="preserve">| AA021 - Fondo En Línea | 13 |</w:t>
      </w:r>
      <w:r>
        <w:t xml:space="preserve"> </w:t>
      </w:r>
      <w:r>
        <w:t xml:space="preserve">| AA015 - COBIS Clientes | 13 |</w:t>
      </w:r>
      <w:r>
        <w:t xml:space="preserve"> </w:t>
      </w:r>
      <w:r>
        <w:t xml:space="preserve">| AA010 - COBIS Caja y Bancos Operativo | 13 |</w:t>
      </w:r>
      <w:r>
        <w:t xml:space="preserve"> </w:t>
      </w:r>
      <w:r>
        <w:t xml:space="preserve">| AA083 - CRM Salesforce | 9 |</w:t>
      </w:r>
      <w:r>
        <w:t xml:space="preserve"> </w:t>
      </w:r>
      <w:r>
        <w:t xml:space="preserve">| AA084 - ERP SAP | 9 |</w:t>
      </w:r>
      <w:r>
        <w:t xml:space="preserve"> </w:t>
      </w:r>
      <w:r>
        <w:t xml:space="preserve">| AA059 - Aplicación GEL | 7 |</w:t>
      </w:r>
      <w:r>
        <w:t xml:space="preserve"> </w:t>
      </w:r>
      <w:r>
        <w:t xml:space="preserve">| AA011 - Visual Batch | 7 |</w:t>
      </w:r>
      <w:r>
        <w:t xml:space="preserve"> </w:t>
      </w:r>
      <w:r>
        <w:t xml:space="preserve">| AA013 - COBIS Entidades | 7 |</w:t>
      </w:r>
      <w:r>
        <w:t xml:space="preserve"> </w:t>
      </w:r>
      <w:r>
        <w:t xml:space="preserve">| AA020 - Banca Virtual | 6 |</w:t>
      </w:r>
      <w:r>
        <w:t xml:space="preserve"> </w:t>
      </w:r>
      <w:r>
        <w:t xml:space="preserve">| AA012 - COBIS Contabilidad | 5 |</w:t>
      </w:r>
      <w:r>
        <w:t xml:space="preserve"> </w:t>
      </w:r>
      <w:r>
        <w:t xml:space="preserve">| … | |</w:t>
      </w:r>
      <w:r>
        <w:t xml:space="preserve"> </w:t>
      </w:r>
      <w:r>
        <w:t xml:space="preserve">|</w:t>
      </w:r>
      <w:r>
        <w:t xml:space="preserve"> </w:t>
      </w:r>
      <w:r>
        <w:rPr>
          <w:bCs/>
          <w:b/>
        </w:rPr>
        <w:t xml:space="preserve">Total general</w:t>
      </w:r>
      <w:r>
        <w:t xml:space="preserve"> </w:t>
      </w:r>
      <w:r>
        <w:t xml:space="preserve">|</w:t>
      </w:r>
      <w:r>
        <w:t xml:space="preserve"> </w:t>
      </w:r>
      <w:r>
        <w:rPr>
          <w:bCs/>
          <w:b/>
        </w:rPr>
        <w:t xml:space="preserve">330</w:t>
      </w:r>
      <w:r>
        <w:t xml:space="preserve"> </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pct" w:w="5000"/>
        <w:tblLook w:firstRow="1" w:lastRow="0" w:firstColumn="0" w:lastColumn="0" w:noHBand="0" w:noVBand="0" w:val="0020"/>
      </w:tblPr>
      <w:tblGrid>
        <w:gridCol w:w="1250"/>
        <w:gridCol w:w="2605"/>
        <w:gridCol w:w="4064"/>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pct" w:w="5000"/>
        <w:tblLook w:firstRow="1" w:lastRow="0" w:firstColumn="0" w:lastColumn="0" w:noHBand="0" w:noVBand="0" w:val="0020"/>
      </w:tblPr>
      <w:tblGrid>
        <w:gridCol w:w="1250"/>
        <w:gridCol w:w="4064"/>
        <w:gridCol w:w="2605"/>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2023-10-19T15:32:04Z</dcterms:created>
  <dcterms:modified xsi:type="dcterms:W3CDTF">2023-10-19T15:32:04Z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