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24629e8 del 28 Jun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 (</w:t>
      </w:r>
      <w:r>
        <w:rPr>
          <w:iCs/>
          <w:i/>
        </w:rPr>
        <w:t xml:space="preserve">330 integraciones</w:t>
      </w:r>
      <w:r>
        <w:t xml:space="preserve">), como con los casos de uso de integraciones no identificados, que asicenden a</w:t>
      </w:r>
      <w:r>
        <w:t xml:space="preserve"> </w:t>
      </w:r>
      <w:r>
        <w:rPr>
          <w:iCs/>
          <w:i/>
        </w:rPr>
        <w:t xml:space="preserve">273 integraciones sin caso</w:t>
      </w:r>
      <w:r>
        <w:t xml:space="preserve">, según los modelos analizados.</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2023-06-28T11:38:26Z</dcterms:created>
  <dcterms:modified xsi:type="dcterms:W3CDTF">2023-06-28T11:38:26Z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