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01"/>
        <w:gridCol w:w="751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Objetivos del Diagnóstico SOA y Productos, Áreas, y Procesos FNA Objeto del Diagnóstico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</w:t>
            </w:r>
            <w:r>
              <w:t xml:space="preserve">Hijo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3" w:name="vista-de-contexto-soa-fna-181-2020"/>
    <w:p>
      <w:pPr>
        <w:pStyle w:val="Ttulo1"/>
      </w:pPr>
      <w:r>
        <w:t xml:space="preserve">Vista de Contexto SOA FNA (181-2020)</w:t>
      </w:r>
    </w:p>
    <w:bookmarkStart w:id="22" w:name="X18861a53d2f17729ec0fdcae7cd78e296fb8c1a"/>
    <w:p>
      <w:pPr>
        <w:pStyle w:val="Ttulo2"/>
      </w:pPr>
      <w:r>
        <w:t xml:space="preserve">Objetivos del diagnóstico SOA y Productos, Áreas Procesos FNA Objeto del Diagnóstico</w:t>
      </w:r>
    </w:p>
    <w:p>
      <w:pPr>
        <w:pStyle w:val="FirstParagraph"/>
      </w:pPr>
      <w:r>
        <w:t xml:space="preserve">La vista de contexto presenta una visión de la empresa ajustada a aquellas partes que entran en el alcance de este proyecto, 181-2020, diagnóstico SOA FNA.</w:t>
      </w:r>
    </w:p>
    <w:p>
      <w:pPr>
        <w:pStyle w:val="Textoindependiente"/>
      </w:pPr>
    </w:p>
    <w:p>
      <w:pPr>
        <w:pStyle w:val="Textoindependiente"/>
      </w:pPr>
      <w:r>
        <w:t xml:space="preserve">Esta vista informa al Fondo Nacional del Ahorro (FNA, en adelante) dos temas: primero, que el ejercicio actual, aunque utilice una visión empresarial, no puede abarcar a la completitud de la empresa, sino que hace foco en las partes indicadas que son relevantes según las restricciones de ejecución y de resultados esperados del proyecto. Segundo, la vista de contexto comunica las problemáticas (que a la vez son objetivos de solución) a los que le apuntarán los diagnósticos de este proyecto.</w:t>
      </w:r>
    </w:p>
    <w:p>
      <w:pPr>
        <w:pStyle w:val="Textoindependiente"/>
      </w:pPr>
    </w:p>
    <w:bookmarkEnd w:id="22"/>
    <w:bookmarkEnd w:id="23"/>
    <w:bookmarkStart w:id="30" w:name="Xed2c28570c147e672d7c628c4cc8118e1aa5374"/>
    <w:p>
      <w:pPr>
        <w:pStyle w:val="Ttulo1"/>
      </w:pPr>
      <w:r>
        <w:t xml:space="preserve">Detalles de la Vista de Contexto SOA FNA (181-2020)</w:t>
      </w:r>
    </w:p>
    <w:bookmarkStart w:id="24" w:name="X47d1aa801a506f166c83dc31d417e7c096ebfb4"/>
    <w:p>
      <w:pPr>
        <w:pStyle w:val="Ttulo2"/>
      </w:pPr>
      <w:r>
        <w:t xml:space="preserve">Objetivos de la Consultoría: Problemática y Diagnósticos</w:t>
      </w:r>
    </w:p>
    <w:p>
      <w:pPr>
        <w:pStyle w:val="FirstParagraph"/>
      </w:pPr>
      <w:r>
        <w:t xml:space="preserve">La consultoría SOA (proyecto 181-2020) tratará tres problemáticas importantes de Fondo Nacional del Ahorro (FNA):</w:t>
      </w:r>
    </w:p>
    <w:p>
      <w:pPr>
        <w:numPr>
          <w:ilvl w:val="0"/>
          <w:numId w:val="1001"/>
        </w:numPr>
        <w:pStyle w:val="Compact"/>
      </w:pPr>
      <w:r>
        <w:t xml:space="preserve">OBJ1. Independencia de proveedor</w:t>
      </w:r>
    </w:p>
    <w:p>
      <w:pPr>
        <w:numPr>
          <w:ilvl w:val="0"/>
          <w:numId w:val="1001"/>
        </w:numPr>
        <w:pStyle w:val="Compact"/>
      </w:pPr>
      <w:r>
        <w:t xml:space="preserve">OBJ2. Flexibilidad y tiempo de mercado</w:t>
      </w:r>
    </w:p>
    <w:p>
      <w:pPr>
        <w:numPr>
          <w:ilvl w:val="0"/>
          <w:numId w:val="1001"/>
        </w:numPr>
        <w:pStyle w:val="Compact"/>
      </w:pPr>
      <w:r>
        <w:t xml:space="preserve">OBJ3. Fortaleza SOA de las aplicaciones del FNA</w:t>
      </w:r>
    </w:p>
    <w:p>
      <w:pPr>
        <w:pStyle w:val="FirstParagraph"/>
      </w:pPr>
      <w:r>
        <w:rPr>
          <w:bCs/>
          <w:b/>
        </w:rPr>
        <w:t xml:space="preserve">Nota</w:t>
      </w:r>
      <w:r>
        <w:t xml:space="preserve">: Gobierno SOA del FNA lo establecemos como uno de los resultados (un producto de trabajo) que entregaremos al FNA, no como un objeto de la consultoría.</w:t>
      </w:r>
    </w:p>
    <w:p>
      <w:pPr>
        <w:pStyle w:val="Textoindependiente"/>
      </w:pPr>
      <w:r>
        <w:t xml:space="preserve">Estos objetivos fueron seleccionados según la relación valor entregado y tiempo de la consultoría, lo cual significa que estos objetivos entregan el nivel de conveniencia de los resultados que puedan desarrollarse en el tiempo de ejecución de este ejercicio.</w:t>
      </w:r>
    </w:p>
    <w:p>
      <w:pPr>
        <w:pStyle w:val="Textoindependiente"/>
      </w:pPr>
      <w:r>
        <w:t xml:space="preserve">Estos objetivos también son imporatntes porque sirven a la vez como los objetos de los diagnósticos que realizaremos en este poryecto de consultoría.</w:t>
      </w:r>
    </w:p>
    <w:bookmarkEnd w:id="24"/>
    <w:bookmarkStart w:id="25" w:name="X35eac707edbc78722b522ebe9af9c5d9febf79a"/>
    <w:p>
      <w:pPr>
        <w:pStyle w:val="Ttulo2"/>
      </w:pPr>
      <w:r>
        <w:t xml:space="preserve">Productos del FNA Objetos del Diagnóstico</w:t>
      </w:r>
    </w:p>
    <w:p>
      <w:pPr>
        <w:pStyle w:val="FirstParagraph"/>
      </w:pPr>
      <w:r>
        <w:t xml:space="preserve">Esta consultoría considera como entradas para los diagnósticos a los productos de negocio del FNA siguientes:</w:t>
      </w:r>
    </w:p>
    <w:p>
      <w:pPr>
        <w:numPr>
          <w:ilvl w:val="0"/>
          <w:numId w:val="1002"/>
        </w:numPr>
        <w:pStyle w:val="Compact"/>
      </w:pPr>
      <w:r>
        <w:t xml:space="preserve">Cuenta AVC (ahorro voluntario)</w:t>
      </w:r>
    </w:p>
    <w:p>
      <w:pPr>
        <w:numPr>
          <w:ilvl w:val="0"/>
          <w:numId w:val="1002"/>
        </w:numPr>
        <w:pStyle w:val="Compact"/>
      </w:pPr>
      <w:r>
        <w:t xml:space="preserve">Cesantías</w:t>
      </w:r>
    </w:p>
    <w:p>
      <w:pPr>
        <w:numPr>
          <w:ilvl w:val="0"/>
          <w:numId w:val="1002"/>
        </w:numPr>
        <w:pStyle w:val="Compact"/>
      </w:pPr>
      <w:r>
        <w:t xml:space="preserve">Crédito</w:t>
      </w:r>
    </w:p>
    <w:p>
      <w:pPr>
        <w:numPr>
          <w:ilvl w:val="0"/>
          <w:numId w:val="1002"/>
        </w:numPr>
        <w:pStyle w:val="Compact"/>
      </w:pPr>
      <w:r>
        <w:t xml:space="preserve">Cartera</w:t>
      </w:r>
    </w:p>
    <w:p>
      <w:pPr>
        <w:pStyle w:val="FirstParagraph"/>
      </w:pPr>
      <w:r>
        <w:t xml:space="preserve">Los demás productos de negocio del FNA serán tratados únicamente cuando su relación con estos los haga relevantes según los requiera o bien un diagnóstico, o bien los objetivos de esta consultoría y del Fondo.</w:t>
      </w:r>
    </w:p>
    <w:bookmarkEnd w:id="25"/>
    <w:bookmarkStart w:id="27" w:name="X564bc848802f1df1daafdfc8ced7a63471b06f5"/>
    <w:p>
      <w:pPr>
        <w:pStyle w:val="Ttulo2"/>
      </w:pPr>
      <w:r>
        <w:t xml:space="preserve">Áreas de Negocio del FNA Objetos del Diagnóstico</w:t>
      </w:r>
    </w:p>
    <w:p>
      <w:pPr>
        <w:pStyle w:val="FirstParagraph"/>
      </w:pPr>
      <w:r>
        <w:t xml:space="preserve">Con base a los productos de negocio de la FNA seleccionados, las áreas del FNA que competen a esta consultoría y a los objetivos de los diagnósticos son:</w:t>
      </w:r>
    </w:p>
    <w:p>
      <w:pPr>
        <w:numPr>
          <w:ilvl w:val="0"/>
          <w:numId w:val="1003"/>
        </w:numPr>
        <w:pStyle w:val="Compact"/>
      </w:pPr>
      <w:r>
        <w:t xml:space="preserve">Vicepresidencia de Crédito</w:t>
      </w:r>
    </w:p>
    <w:p>
      <w:pPr>
        <w:numPr>
          <w:ilvl w:val="0"/>
          <w:numId w:val="1003"/>
        </w:numPr>
        <w:pStyle w:val="Compact"/>
      </w:pPr>
      <w:r>
        <w:t xml:space="preserve">Vicepresidencia de Operaciones</w:t>
      </w:r>
    </w:p>
    <w:p>
      <w:pPr>
        <w:pStyle w:val="FirstParagraph"/>
      </w:pPr>
      <w:r>
        <w:t xml:space="preserve">La áreas debajo de estas, como por ejemplo, la Gerencia de Crédito Individual para el caso de la primera, o la Gerencia de Cartera, serán relacionadas en tanto se vean impactadas por un diagnóstico en marcha, o los objetivos de este consultoría y del Fondo.</w:t>
      </w:r>
    </w:p>
    <w:bookmarkStart w:id="26" w:name="referencia"/>
    <w:p>
      <w:pPr>
        <w:pStyle w:val="Ttulo3"/>
      </w:pPr>
      <w:r>
        <w:t xml:space="preserve">Referencia</w:t>
      </w:r>
    </w:p>
    <w:p>
      <w:pPr>
        <w:pStyle w:val="FirstParagraph"/>
      </w:pPr>
    </w:p>
    <w:bookmarkEnd w:id="26"/>
    <w:bookmarkEnd w:id="27"/>
    <w:bookmarkStart w:id="29" w:name="Xe5340f4e4041b674d6db373a70536e57f4f5a80"/>
    <w:p>
      <w:pPr>
        <w:pStyle w:val="Ttulo2"/>
      </w:pPr>
      <w:r>
        <w:t xml:space="preserve">Procesos de Negocio Objetos del Diagnóstico</w:t>
      </w:r>
    </w:p>
    <w:p>
      <w:pPr>
        <w:pStyle w:val="FirstParagraph"/>
      </w:pPr>
      <w:r>
        <w:t xml:space="preserve">Los procesos de negocio seleccionados por este proyecto SOA son aquellos relacionados con los productos de negocio objetos de esta consultoría, por ejemplo,</w:t>
      </w:r>
    </w:p>
    <w:p>
      <w:pPr>
        <w:numPr>
          <w:ilvl w:val="0"/>
          <w:numId w:val="1004"/>
        </w:numPr>
        <w:pStyle w:val="Compact"/>
      </w:pPr>
      <w:r>
        <w:t xml:space="preserve">PROC1. Administración de Cuentas y Pago de Cesantías (CSNT)</w:t>
      </w:r>
    </w:p>
    <w:p>
      <w:pPr>
        <w:numPr>
          <w:ilvl w:val="0"/>
          <w:numId w:val="1004"/>
        </w:numPr>
        <w:pStyle w:val="Compact"/>
      </w:pPr>
      <w:r>
        <w:t xml:space="preserve">PROC2. Gestión Crédito</w:t>
      </w:r>
    </w:p>
    <w:p>
      <w:pPr>
        <w:numPr>
          <w:ilvl w:val="1"/>
          <w:numId w:val="1005"/>
        </w:numPr>
        <w:pStyle w:val="Compact"/>
      </w:pPr>
      <w:r>
        <w:t xml:space="preserve">PROC2.1. Gestión Crédito Educativo</w:t>
      </w:r>
    </w:p>
    <w:p>
      <w:pPr>
        <w:numPr>
          <w:ilvl w:val="1"/>
          <w:numId w:val="1005"/>
        </w:numPr>
        <w:pStyle w:val="Compact"/>
      </w:pPr>
      <w:r>
        <w:t xml:space="preserve">PROC2.2. Gestión Crédito Hipotecario</w:t>
      </w:r>
    </w:p>
    <w:p>
      <w:pPr>
        <w:numPr>
          <w:ilvl w:val="1"/>
          <w:numId w:val="1005"/>
        </w:numPr>
        <w:pStyle w:val="Compact"/>
      </w:pPr>
      <w:r>
        <w:t xml:space="preserve">PROC2.3. Gestión Crédito Constructor</w:t>
      </w:r>
    </w:p>
    <w:p>
      <w:pPr>
        <w:numPr>
          <w:ilvl w:val="0"/>
          <w:numId w:val="1004"/>
        </w:numPr>
        <w:pStyle w:val="Compact"/>
      </w:pPr>
      <w:r>
        <w:t xml:space="preserve">PROC3. Facturación y Cartera</w:t>
      </w:r>
    </w:p>
    <w:bookmarkStart w:id="28" w:name="referencia-1"/>
    <w:p>
      <w:pPr>
        <w:pStyle w:val="Ttulo3"/>
      </w:pPr>
      <w:r>
        <w:t xml:space="preserve">Referencia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bookmarkEnd w:id="28"/>
    <w:bookmarkEnd w:id="29"/>
    <w:bookmarkEnd w:id="30"/>
    <w:sectPr w:rsidR="000A1F2B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000000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000000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000000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000000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000000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000000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000000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000000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916C12"/>
    <w:pPr>
      <w:spacing w:after="12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Pr>
      <w:rFonts w:ascii="Arial" w:hAnsi="Arial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%20Ejecuci&#243;n%20Plan%20de%20Trabajo%20SOA&amp;section-id=%7BF3AC64B8-D6FF-47C7-ABBE-A2B4B6510F0F%7D&amp;page-id=%7B45CC9047-3DB4-4CFD-BCA1-D9619F4A0C4D%7D&amp;end&amp;base-path=https://uniandes-my.sharepoint.com/personal/ha_wong10_uniandes_edu_co/Documents/Blocs%20de%20notas/Harry%20Alfredo%20@%20Work/SOA/Trabajo%20SOA.one" TargetMode="External" /><Relationship Type="http://schemas.openxmlformats.org/officeDocument/2006/relationships/hyperlink" Id="rId21" Target="onenote:#N003a.%20Procesos%20de%20Negocio%20FNA&amp;section-id=%7BF3AC64B8-D6FF-47C7-ABBE-A2B4B6510F0F%7D&amp;page-id=%7BDAE4ECE3-B936-461D-A468-83492014F7F7%7D&amp;end&amp;base-path=https://uniandes-my.sharepoint.com/personal/ha_wong10_uniandes_edu_co/Documents/Blocs%20de%20notas/Harry%20Alfredo%20@%20Work/SOA/Trabajo%20SOA.on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%20Ejecuci&#243;n%20Plan%20de%20Trabajo%20SOA&amp;section-id=%7BF3AC64B8-D6FF-47C7-ABBE-A2B4B6510F0F%7D&amp;page-id=%7B45CC9047-3DB4-4CFD-BCA1-D9619F4A0C4D%7D&amp;end&amp;base-path=https://uniandes-my.sharepoint.com/personal/ha_wong10_uniandes_edu_co/Documents/Blocs%20de%20notas/Harry%20Alfredo%20@%20Work/SOA/Trabajo%20SOA.one" TargetMode="External" /><Relationship Type="http://schemas.openxmlformats.org/officeDocument/2006/relationships/hyperlink" Id="rId21" Target="onenote:#N003a.%20Procesos%20de%20Negocio%20FNA&amp;section-id=%7BF3AC64B8-D6FF-47C7-ABBE-A2B4B6510F0F%7D&amp;page-id=%7BDAE4ECE3-B936-461D-A468-83492014F7F7%7D&amp;end&amp;base-path=https://uniandes-my.sharepoint.com/personal/ha_wong10_uniandes_edu_co/Documents/Blocs%20de%20notas/Harry%20Alfredo%20@%20Work/SOA/Trabajo%20SOA.one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33</TotalTime>
  <Pages>1</Pages>
  <Words>286</Words>
  <Characters>1574</Characters>
  <Application>Microsoft Office Word</Application>
  <DocSecurity>0</DocSecurity>
  <Lines>13</Lines>
  <Paragraphs>3</Paragraphs>
  <ScaleCrop>false</ScaleCrop>
  <Company>Informática &amp; Tecnología Ltda</Company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2023-01-11T16:59:23Z</dcterms:created>
  <dcterms:modified xsi:type="dcterms:W3CDTF">2023-01-11T16:59:23Z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