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17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</w:tr>
    </w:tbl>
    <w:p>
      <w:pPr>
        <w:pStyle w:val="3"/>
      </w:pPr>
    </w:p>
    <w:bookmarkStart w:id="23" w:name="vista-de-contexto-soa-fna-181-2020"/>
    <w:p>
      <w:pPr>
        <w:pStyle w:val="2"/>
      </w:pPr>
      <w:r>
        <w:t xml:space="preserve">Vista de Contexto SOA FNA (181-2020)</w:t>
      </w:r>
    </w:p>
    <w:bookmarkStart w:id="22" w:name="X18861a53d2f17729ec0fdcae7cd78e296fb8c1a"/>
    <w:p>
      <w:pPr>
        <w:pStyle w:val="4"/>
      </w:pPr>
      <w:r>
        <w:t xml:space="preserve">Objetivos del diagnóstico SOA y Productos, Áreas Procesos FNA Objeto del Diagnóstico</w:t>
      </w:r>
    </w:p>
    <w:p>
      <w:pPr>
        <w:pStyle w:val="31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3"/>
      </w:pPr>
    </w:p>
    <w:p>
      <w:pPr>
        <w:pStyle w:val="3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3"/>
      </w:pPr>
    </w:p>
    <w:bookmarkEnd w:id="22"/>
    <w:bookmarkEnd w:id="23"/>
    <w:bookmarkStart w:id="30" w:name="Xed2c28570c147e672d7c628c4cc8118e1aa5374"/>
    <w:p>
      <w:pPr>
        <w:pStyle w:val="2"/>
      </w:pPr>
      <w:r>
        <w:t xml:space="preserve">Detalles de la Vista de Contexto SOA FNA (181-2020)</w:t>
      </w:r>
    </w:p>
    <w:bookmarkStart w:id="24" w:name="X47d1aa801a506f166c83dc31d417e7c096ebfb4"/>
    <w:p>
      <w:pPr>
        <w:pStyle w:val="4"/>
      </w:pPr>
      <w:r>
        <w:t xml:space="preserve">Objetivos de la Consultoría: Problemática y Diagnósticos</w:t>
      </w:r>
    </w:p>
    <w:p>
      <w:pPr>
        <w:pStyle w:val="31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34"/>
      </w:pPr>
      <w:r>
        <w:t xml:space="preserve">OBJ1. Independencia de proveedor</w:t>
      </w:r>
    </w:p>
    <w:p>
      <w:pPr>
        <w:numPr>
          <w:ilvl w:val="0"/>
          <w:numId w:val="1001"/>
        </w:numPr>
        <w:pStyle w:val="34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34"/>
      </w:pPr>
      <w:r>
        <w:t xml:space="preserve">OBJ3. Fortaleza SOA de las aplicaciones del FNA</w:t>
      </w:r>
    </w:p>
    <w:p>
      <w:pPr>
        <w:pStyle w:val="31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3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3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4"/>
      </w:pPr>
      <w:r>
        <w:t xml:space="preserve">Productos del FNA Objetos del Diagnóstico</w:t>
      </w:r>
    </w:p>
    <w:p>
      <w:pPr>
        <w:pStyle w:val="31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34"/>
      </w:pPr>
      <w:r>
        <w:t xml:space="preserve">Cuenta AVC (ahorro voluntario)</w:t>
      </w:r>
    </w:p>
    <w:p>
      <w:pPr>
        <w:numPr>
          <w:ilvl w:val="0"/>
          <w:numId w:val="1002"/>
        </w:numPr>
        <w:pStyle w:val="34"/>
      </w:pPr>
      <w:r>
        <w:t xml:space="preserve">Cesantías</w:t>
      </w:r>
    </w:p>
    <w:p>
      <w:pPr>
        <w:numPr>
          <w:ilvl w:val="0"/>
          <w:numId w:val="1002"/>
        </w:numPr>
        <w:pStyle w:val="34"/>
      </w:pPr>
      <w:r>
        <w:t xml:space="preserve">Crédito</w:t>
      </w:r>
    </w:p>
    <w:p>
      <w:pPr>
        <w:numPr>
          <w:ilvl w:val="0"/>
          <w:numId w:val="1002"/>
        </w:numPr>
        <w:pStyle w:val="34"/>
      </w:pPr>
      <w:r>
        <w:t xml:space="preserve">Cartera</w:t>
      </w:r>
    </w:p>
    <w:p>
      <w:pPr>
        <w:pStyle w:val="31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4"/>
      </w:pPr>
      <w:r>
        <w:t xml:space="preserve">Áreas de Negocio del FNA Objetos del Diagnóstico</w:t>
      </w:r>
    </w:p>
    <w:p>
      <w:pPr>
        <w:pStyle w:val="31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34"/>
      </w:pPr>
      <w:r>
        <w:t xml:space="preserve">Vicepresidencia de Crédito</w:t>
      </w:r>
    </w:p>
    <w:p>
      <w:pPr>
        <w:numPr>
          <w:ilvl w:val="0"/>
          <w:numId w:val="1003"/>
        </w:numPr>
        <w:pStyle w:val="34"/>
      </w:pPr>
      <w:r>
        <w:t xml:space="preserve">Vicepresidencia de Operaciones</w:t>
      </w:r>
    </w:p>
    <w:p>
      <w:pPr>
        <w:pStyle w:val="31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5"/>
      </w:pPr>
      <w:r>
        <w:t xml:space="preserve">Referencia</w:t>
      </w:r>
    </w:p>
    <w:p>
      <w:pPr>
        <w:pStyle w:val="31"/>
      </w:pPr>
    </w:p>
    <w:bookmarkEnd w:id="26"/>
    <w:bookmarkEnd w:id="27"/>
    <w:bookmarkStart w:id="29" w:name="Xe5340f4e4041b674d6db373a70536e57f4f5a80"/>
    <w:p>
      <w:pPr>
        <w:pStyle w:val="4"/>
      </w:pPr>
      <w:r>
        <w:t xml:space="preserve">Procesos de Negocio Objetos del Diagnóstico</w:t>
      </w:r>
    </w:p>
    <w:p>
      <w:pPr>
        <w:pStyle w:val="31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34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34"/>
      </w:pPr>
      <w:r>
        <w:t xml:space="preserve">PROC2. Gestión Crédito</w:t>
      </w:r>
    </w:p>
    <w:p>
      <w:pPr>
        <w:numPr>
          <w:ilvl w:val="1"/>
          <w:numId w:val="1005"/>
        </w:numPr>
        <w:pStyle w:val="34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34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34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34"/>
      </w:pPr>
      <w:r>
        <w:t xml:space="preserve">PROC3. Facturación y Cartera</w:t>
      </w:r>
    </w:p>
    <w:bookmarkStart w:id="28" w:name="referencia-1"/>
    <w:p>
      <w:pPr>
        <w:pStyle w:val="5"/>
      </w:pPr>
      <w:r>
        <w:t xml:space="preserve">Referencia</w:t>
      </w:r>
    </w:p>
    <w:p>
      <w:pPr>
        <w:pStyle w:val="31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2023-01-10T22:54:05Z</dcterms:created>
  <dcterms:modified xsi:type="dcterms:W3CDTF">2023-01-10T22:54:05Z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