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2" w:name="justificación"/>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2"/>
    <w:bookmarkStart w:id="23" w:name="contenidos"/>
    <w:p>
      <w:pPr>
        <w:pStyle w:val="Ttulo2"/>
      </w:pPr>
      <w:r>
        <w:t xml:space="preserve">Contenidos</w:t>
      </w:r>
    </w:p>
    <w:p>
      <w:pPr>
        <w:numPr>
          <w:ilvl w:val="0"/>
          <w:numId w:val="1001"/>
        </w:numPr>
        <w:pStyle w:val="Compact"/>
      </w:pPr>
      <w:r>
        <w:t xml:space="preserve">Resultados y métricas del diagnóstico de madurez SOA</w:t>
      </w:r>
    </w:p>
    <w:p>
      <w:pPr>
        <w:numPr>
          <w:ilvl w:val="0"/>
          <w:numId w:val="1001"/>
        </w:numPr>
        <w:pStyle w:val="Compact"/>
      </w:pPr>
      <w:r>
        <w:t xml:space="preserve">Consideraciones y conclusiones respecto a la arquitectura estándar SOA</w:t>
      </w:r>
    </w:p>
    <w:p>
      <w:pPr>
        <w:numPr>
          <w:ilvl w:val="0"/>
          <w:numId w:val="1001"/>
        </w:numPr>
        <w:pStyle w:val="Compact"/>
      </w:pPr>
      <w:r>
        <w:t xml:space="preserve">Consideraciones y conclusiones respecto de las necesidades de integración</w:t>
      </w:r>
    </w:p>
    <w:p>
      <w:pPr>
        <w:numPr>
          <w:ilvl w:val="0"/>
          <w:numId w:val="1001"/>
        </w:numPr>
        <w:pStyle w:val="Compact"/>
      </w:pPr>
      <w:r>
        <w:t xml:space="preserve">Consideraciones y conclusiones respecto al gobierno SOA</w:t>
      </w:r>
    </w:p>
    <w:p>
      <w:pPr>
        <w:numPr>
          <w:ilvl w:val="0"/>
          <w:numId w:val="1001"/>
        </w:numPr>
        <w:pStyle w:val="Compact"/>
      </w:pPr>
      <w:r>
        <w:t xml:space="preserve">Implicaciones a otros proyectos del Fondo</w:t>
      </w:r>
    </w:p>
    <w:bookmarkEnd w:id="23"/>
    <w:bookmarkStart w:id="24" w:name="criterios-de-aceptación"/>
    <w:p>
      <w:pPr>
        <w:pStyle w:val="Ttulo2"/>
      </w:pPr>
      <w:r>
        <w:t xml:space="preserve">Criterios de Aceptación</w:t>
      </w:r>
    </w:p>
    <w:p>
      <w:pPr>
        <w:numPr>
          <w:ilvl w:val="0"/>
          <w:numId w:val="1002"/>
        </w:numPr>
        <w:pStyle w:val="Compact"/>
      </w:pPr>
      <w:r>
        <w:t xml:space="preserve">Análisis del nivel de madurez SOA del FNA teniendo en cuenta las definiciones y criterios de evaluación de propuestas por el modelo OSIMM</w:t>
      </w:r>
      <w:r>
        <w:br/>
      </w:r>
    </w:p>
    <w:p>
      <w:pPr>
        <w:numPr>
          <w:ilvl w:val="0"/>
          <w:numId w:val="1002"/>
        </w:numPr>
        <w:pStyle w:val="Compact"/>
      </w:pPr>
      <w:r>
        <w:t xml:space="preserve">Análisis de las necesidades de integración y Gobierno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2023-02-16T22:07:50Z</dcterms:created>
  <dcterms:modified xsi:type="dcterms:W3CDTF">2023-02-16T22:07:50Z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