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e4a06a8 del 20 Feb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Aunque se evidencia conocimiento y estandarización en las capacidades de computo actuales del FNA, se hace necesario centralizar la actividades de administración y actualización de la información y actividades de administración de configuración, con lo cual sea posible mejorar las toma de decisiones.</w:t>
      </w:r>
    </w:p>
    <w:p>
      <w:pPr>
        <w:pStyle w:val="FirstParagraph"/>
      </w:pPr>
    </w:p>
    <w:p>
      <w:pPr>
        <w:pStyle w:val="Textoindependiente"/>
      </w:pPr>
      <w:r>
        <w:t xml:space="preserve">Por otra parte, encontramos que los requerimientos de mejora de la infraestructura se ejecutan en su mayoría sobre plataformas y tecnologías homogéneas, tales como servidor de aplicaciones o entorno de ejecución (ej. Java). Esto puede ser un problemas en el caso de portar o cambiar algunos de los entornos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2023-02-20T13:59:15Z</dcterms:created>
  <dcterms:modified xsi:type="dcterms:W3CDTF">2023-02-20T13:59:15Z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