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6e0d697 del 18 Jan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rimera iteración del proceso de evaluación de madurez SOA del FNA resulta en que el</w:t>
      </w:r>
      <w:r>
        <w:t xml:space="preserve"> </w:t>
      </w:r>
      <w:r>
        <w:rPr>
          <w:iCs/>
          <w:i/>
        </w:rPr>
        <w:t xml:space="preserve">FNA es una empresa reactiva</w:t>
      </w:r>
      <w:r>
        <w:t xml:space="preserve">, y este resultado es consistentes en todas las dimensiones diagnósticadas (negocio, org. y gobierno, …).</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Con el mismo nivel de importancia que el caso anterior, esta problemática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Vigilancia del costo, efectividad y factibilidad SOA</w:t>
      </w:r>
    </w:p>
    <w:p>
      <w:pPr>
        <w:pStyle w:val="Textoindependiente"/>
      </w:pPr>
      <w:r>
        <w:t xml:space="preserve">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2023-01-18T17:58:17Z</dcterms:created>
  <dcterms:modified xsi:type="dcterms:W3CDTF">2023-01-18T17:58:17Z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