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36.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5f8381f del 19 Oct 2023</w:t>
            </w:r>
          </w:p>
        </w:tc>
      </w:tr>
      <w:tr>
        <w:tc>
          <w:tcPr/>
          <w:p>
            <w:pPr>
              <w:pStyle w:val="Compact"/>
              <w:jc w:val="left"/>
            </w:pPr>
            <w:r>
              <w:t xml:space="preserve">Vínculos</w:t>
            </w:r>
          </w:p>
        </w:tc>
        <w:tc>
          <w:tcPr/>
          <w:p>
            <w:pPr>
              <w:pStyle w:val="Compact"/>
              <w:jc w:val="left"/>
            </w:pPr>
            <w:hyperlink r:id="rId20">
              <w:r>
                <w:rPr>
                  <w:rStyle w:val="Hipervnculo"/>
                </w:rPr>
                <w:t xml:space="preserve">N011. Estudio de Madurez SOA FNA -3 Anexos</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33" w:name="Xf4a9d099af4483fb86eca7d7d4a1c68bf5ba5d8"/>
    <w:p>
      <w:pPr>
        <w:pStyle w:val="Ttulo2"/>
      </w:pPr>
      <w:r>
        <w:t xml:space="preserve">Resultados y Métricas del Diagnóstico de Madurez SOA</w:t>
      </w:r>
    </w:p>
    <w:p>
      <w:pPr>
        <w:pStyle w:val="FirstParagraph"/>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6" name="Picture"/>
                  <a:graphic>
                    <a:graphicData uri="http://schemas.openxmlformats.org/drawingml/2006/picture">
                      <pic:pic>
                        <pic:nvPicPr>
                          <pic:cNvPr descr="images/madurezInfo_graf.png" id="27" name="Picture"/>
                          <pic:cNvPicPr>
                            <a:picLocks noChangeArrowheads="1" noChangeAspect="1"/>
                          </pic:cNvPicPr>
                        </pic:nvPicPr>
                        <pic:blipFill>
                          <a:blip r:embed="rId25"/>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8">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2"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flexibilidad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0" name="Picture"/>
            <a:graphic>
              <a:graphicData uri="http://schemas.openxmlformats.org/drawingml/2006/picture">
                <pic:pic>
                  <pic:nvPicPr>
                    <pic:cNvPr descr="images/analisisSOA-1.png" id="31" name="Picture"/>
                    <pic:cNvPicPr>
                      <a:picLocks noChangeArrowheads="1" noChangeAspect="1"/>
                    </pic:cNvPicPr>
                  </pic:nvPicPr>
                  <pic:blipFill>
                    <a:blip r:embed="rId29"/>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2"/>
    <w:bookmarkEnd w:id="33"/>
    <w:bookmarkStart w:id="34"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4"/>
    <w:bookmarkStart w:id="35"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pStyle w:val="FirstParagraph"/>
      </w:pPr>
    </w:p>
    <w:bookmarkEnd w:id="35"/>
    <w:bookmarkStart w:id="39" w:name="Xf9a8814be87726acc57f2b1996588ef8df8e83d"/>
    <w:p>
      <w:pPr>
        <w:pStyle w:val="Ttulo2"/>
      </w:pPr>
      <w:r>
        <w:t xml:space="preserve">Consideraciones y Conclusiones Respecto al Gobierno SOA</w:t>
      </w:r>
    </w:p>
    <w:p>
      <w:pPr>
        <w:pStyle w:val="FirstParagraph"/>
      </w:pPr>
      <w:r>
        <w:t xml:space="preserve">El gobierno SOA para el Fondo debe tener un enfoque inicial claro: vigilancia del costo, efectividad y factibilidad SOA.</w:t>
      </w:r>
    </w:p>
    <w:p>
      <w:pPr>
        <w:pStyle w:val="Textoindependiente"/>
      </w:pPr>
      <w:r>
        <w:t xml:space="preserve">Con este enfoque, 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7" name="Picture"/>
            <a:graphic>
              <a:graphicData uri="http://schemas.openxmlformats.org/drawingml/2006/picture">
                <pic:pic>
                  <pic:nvPicPr>
                    <pic:cNvPr descr="images/analisisSOA-2.png" id="38" name="Picture"/>
                    <pic:cNvPicPr>
                      <a:picLocks noChangeArrowheads="1" noChangeAspect="1"/>
                    </pic:cNvPicPr>
                  </pic:nvPicPr>
                  <pic:blipFill>
                    <a:blip r:embed="rId36"/>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independiente"/>
      </w:pP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2023-10-19T03:31:46Z</dcterms:created>
  <dcterms:modified xsi:type="dcterms:W3CDTF">2023-10-19T03:31:46Z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