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w:t>
      </w:r>
      <w:r>
        <w:br/>
      </w:r>
      <w:r>
        <w:br/>
      </w:r>
      <w:r>
        <w:rPr>
          <w:rStyle w:val="VerbatimChar"/>
        </w:rPr>
        <w:t xml:space="preserve">A su vez, el proceso de negocio "Aporte Cesantías" tiene que ver en forma directa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bookmarkEnd w:id="24"/>
    <w:bookmarkEnd w:id="25"/>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2023-01-11T22:35:02Z</dcterms:created>
  <dcterms:modified xsi:type="dcterms:W3CDTF">2023-01-11T22:35:02Z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