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32a30c8 del 21 Oct 2023</w:t>
            </w:r>
          </w:p>
        </w:tc>
      </w:tr>
      <w:tr>
        <w:tc>
          <w:tcPr/>
          <w:p>
            <w:pPr>
              <w:pStyle w:val="Compact"/>
              <w:jc w:val="left"/>
            </w:pPr>
            <w:r>
              <w:t xml:space="preserve">Vínculos</w:t>
            </w:r>
          </w:p>
        </w:tc>
        <w:tc>
          <w:tcPr/>
          <w:p>
            <w:pPr>
              <w:pStyle w:val="Compact"/>
            </w:pPr>
          </w:p>
        </w:tc>
      </w:tr>
    </w:tbl>
    <w:p>
      <w:pPr>
        <w:pStyle w:val="Textoindependiente"/>
      </w:pPr>
    </w:p>
    <w:bookmarkStart w:id="27" w:name="Xad727b514f10c91a99e1e36033e87233fbdc6d6"/>
    <w:p>
      <w:pPr>
        <w:pStyle w:val="Ttulo2"/>
      </w:pPr>
      <w:r>
        <w:t xml:space="preserve">Análisis de Huella y Dependencia Tecnológica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2023-10-21T16:51:38Z</dcterms:created>
  <dcterms:modified xsi:type="dcterms:W3CDTF">2023-10-21T16:51:38Z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