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 del Diagnóstico Situación Actual SOA del FNA:</w:t>
            </w:r>
            <w:r>
              <w:t xml:space="preserve"> </w:t>
            </w:r>
            <w:r>
              <w:rPr>
                <w:bCs/>
                <w:b/>
              </w:rPr>
              <w:t xml:space="preserve">Análisis de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Tecnología, Gobierno, Efectividad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e4a06a8 del 20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7" w:name="análisis-de-gobierno-soa-del-fna"/>
    <w:p>
      <w:pPr>
        <w:pStyle w:val="Ttulo2"/>
      </w:pPr>
      <w:r>
        <w:t xml:space="preserve">Análisis de Gobierno SOA del FNA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En el caso de este ejercicio de diagnóstico tratamos los riesgos de tecnología y de arquitectura SOA del FNA. A continuación identificaremos los riesgos que ameritan reforzar el gobierno SOA del Fondo.</w:t>
      </w:r>
    </w:p>
    <w:bookmarkStart w:id="24" w:name="X94d26dee9db28ef7a5d3dadaa2a734a6bdd06b0"/>
    <w:p>
      <w:pPr>
        <w:pStyle w:val="Ttulo3"/>
      </w:pPr>
      <w:r>
        <w:t xml:space="preserve">Riesgo de Inefectividad Tecnológica (versus beneficios SOA)</w:t>
      </w:r>
    </w:p>
    <w:p>
      <w:pPr>
        <w:pStyle w:val="FirstParagraph"/>
      </w:pPr>
      <w:r>
        <w:t xml:space="preserve">Parte importante de la tecnología del Fondo está reflejada en sus aplicaciones y plataforma de software (ver imagen siguiente).</w:t>
      </w:r>
      <w:r>
        <w:t xml:space="preserve"> </w:t>
      </w:r>
      <w:r>
        <w:rPr>
          <w:iCs/>
          <w:i/>
        </w:rPr>
        <w:t xml:space="preserve">Las aplicaciones de proveedor, entre los que se encuentran Transunion, Solusoft, Isolution, y por supuesto, el ERP Cobis, tienen la mayor presencia en el listado de tecnologías</w:t>
      </w:r>
      <w:r>
        <w:t xml:space="preserve">, seguido esta de los productos de grandes fabricantes como el bus de IBM, y las bases de datos de Oracle y Sybase.</w:t>
      </w:r>
    </w:p>
    <w:p>
      <w:pPr>
        <w:pStyle w:val="Figure"/>
      </w:pPr>
      <w:r>
        <w:drawing>
          <wp:inline>
            <wp:extent cx="5600700" cy="254459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catalogoaplicacione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44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Listado de tecnologías de software del FNA.</w:t>
      </w:r>
    </w:p>
    <w:p>
      <w:pPr>
        <w:pStyle w:val="Textoindependiente"/>
      </w:pPr>
      <w:r>
        <w:rPr>
          <w:iCs/>
          <w:i/>
        </w:rPr>
        <w:t xml:space="preserve">Fuente: catalogo de Aplicaciones URL.xlsx.</w:t>
      </w:r>
    </w:p>
    <w:p>
      <w:pPr>
        <w:pStyle w:val="Textoindependiente"/>
      </w:pPr>
    </w:p>
    <w:p>
      <w:pPr>
        <w:pStyle w:val="Textoindependiente"/>
      </w:pPr>
      <w:r>
        <w:t xml:space="preserve">Nota: el Process Server, componente que tiene un nivel de utilización considerable en el FNA no aparece en este corte, dado que no es una aplicación. Aún así, a este componente le aplique de igual manera este riesgo señalado.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Importante</w:t>
      </w:r>
      <w:r>
        <w:t xml:space="preserve">. Existe el riesgo de inefectividad tecnológica respecto a SOA. En consistencia con esta lista de tecnologías y proveedores y este riesgo señalado, el resultado del diagnóstico de madurez SOA indica que el FNA no pasa del segundo escalafón en esta la eficacia SOA de OSIMM.</w:t>
      </w:r>
    </w:p>
    <w:p>
      <w:pPr>
        <w:pStyle w:val="FirstParagraph"/>
      </w:pPr>
      <w:r>
        <w:t xml:space="preserve">El riesgo de inefectividad tecnológica respecto a SOA se configura cuando el nivel de inversión en tecnología de software riñe con los resultados de los diagnósticos de eficacia, como los que realizamos en este ejercicio.</w:t>
      </w:r>
    </w:p>
    <w:p>
      <w:pPr>
        <w:pStyle w:val="Textoindependiente"/>
      </w:pPr>
    </w:p>
    <w:p>
      <w:pPr>
        <w:pStyle w:val="Textodebloque"/>
      </w:pPr>
      <w:r>
        <w:t xml:space="preserve">Es tarea primordial del futuro gobierno SOA el balancear la eficacia de las inversiones de tecnología de software del FNA con el desempeño SOA de la empresa; prevenir, incluso, las inversiones si estos desbalances existieran, y en consecuencia, impulsar primero el avance de la madurez del portafolio de servicios para aprovechar mejor la planta instalada del FNA.</w:t>
      </w:r>
    </w:p>
    <w:p>
      <w:pPr>
        <w:pStyle w:val="FirstParagraph"/>
      </w:pPr>
    </w:p>
    <w:p>
      <w:pPr>
        <w:pStyle w:val="Textoindependiente"/>
      </w:pPr>
      <w:r>
        <w:t xml:space="preserve">Según el diagnóstico de la situación actual del FNA, el futuro gobierno SOA, debe:</w:t>
      </w:r>
      <w:r>
        <w:t xml:space="preserve"> </w:t>
      </w:r>
      <w:r>
        <w:t xml:space="preserve">1. Vigilar y aumentar las capacidades de la arquitectura SOA.</w:t>
      </w:r>
      <w:r>
        <w:t xml:space="preserve"> </w:t>
      </w:r>
      <w:r>
        <w:t xml:space="preserve">1. Mantener el balance entre el desarrollo de los procesos SOA y el desarrollo de las capacidades de la arquitectura SOA.</w:t>
      </w:r>
      <w:r>
        <w:t xml:space="preserve"> </w:t>
      </w:r>
      <w:r>
        <w:t xml:space="preserve">1. Procurar los índices de eficacia (madurez) de la arquitectura y de los procesos SOA, no sólo de los servicios SOA.</w:t>
      </w:r>
    </w:p>
    <w:p>
      <w:pPr>
        <w:pStyle w:val="Textoindependiente"/>
      </w:pPr>
    </w:p>
    <w:bookmarkEnd w:id="24"/>
    <w:bookmarkStart w:id="26" w:name="X7d4a0a0f8d958bd09e087c129f3708ecbf6ef67"/>
    <w:p>
      <w:pPr>
        <w:pStyle w:val="Ttulo3"/>
      </w:pPr>
      <w:r>
        <w:t xml:space="preserve">Riesgo de Vigilancia de Soluciones SOA (versus beneficios SOA)</w:t>
      </w:r>
    </w:p>
    <w:p>
      <w:pPr>
        <w:pStyle w:val="FirstParagraph"/>
      </w:pPr>
      <w:r>
        <w:t xml:space="preserve">Con base en el análisis de alineación SOA (ver</w:t>
      </w:r>
      <w:r>
        <w:t xml:space="preserve"> </w:t>
      </w:r>
      <w:hyperlink r:id="rId25">
        <w:r>
          <w:rPr>
            <w:rStyle w:val="Hipervnculo"/>
          </w:rPr>
          <w:t xml:space="preserve">Resultado Diagnóstico Situación Actual-1</w:t>
        </w:r>
      </w:hyperlink>
      <w:r>
        <w:t xml:space="preserve">, que muestra que el enfoque predominante no es el descendente, si no que,</w:t>
      </w:r>
      <w:r>
        <w:t xml:space="preserve"> </w:t>
      </w:r>
      <w:r>
        <w:rPr>
          <w:iCs/>
          <w:i/>
        </w:rPr>
        <w:t xml:space="preserve">la implementación de los servicios del portafolio del FNA provienen más de las aplicaciones de los proveedores que desde las vicepresidencia de Crédito o de la de Operaciones</w:t>
      </w:r>
      <w:r>
        <w:t xml:space="preserve">, existe el riesgo (y la oportinidad de reforzar el gobierno SOA) de que las soluciones no sean las que el equipo de arquitectura, TI, o el que haga las veces de gestor de las tecnologías en el Fondo, pueda reforzar la arquitectura de referencia SOA del Fondo.</w:t>
      </w:r>
    </w:p>
    <w:bookmarkEnd w:id="26"/>
    <w:bookmarkEnd w:id="27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Relationship Type="http://schemas.openxmlformats.org/officeDocument/2006/relationships/hyperlink" Id="rId25" Target="ResultadoDiagn&#243;sticoSituaci&#243;nActual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2023-02-20T13:59:19Z</dcterms:created>
  <dcterms:modified xsi:type="dcterms:W3CDTF">2023-02-20T13:59:19Z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