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fase-1-estado-soa-actual"/>
    <w:p>
      <w:pPr>
        <w:pStyle w:val="Ttulo1"/>
      </w:pPr>
      <w:r>
        <w:t xml:space="preserve">Fase 1: Estado SOA Actual</w:t>
      </w:r>
    </w:p>
    <w:bookmarkEnd w:id="20"/>
    <w:bookmarkStart w:id="21" w:name="Xde28353806a99316a61e306cd812fd556109b6d"/>
    <w:p>
      <w:pPr>
        <w:pStyle w:val="Ttulo1"/>
      </w:pPr>
      <w:r>
        <w:t xml:space="preserve">Contenido de los Productos Contractuales, 181-2020</w:t>
      </w:r>
    </w:p>
    <w:bookmarkEnd w:id="21"/>
    <w:bookmarkStart w:id="25" w:name="Xc2ecf036857e380cd439c2cfc7cf3d087b85ac8"/>
    <w:p>
      <w:pPr>
        <w:pStyle w:val="Ttulo1"/>
      </w:pPr>
      <w:r>
        <w:t xml:space="preserve">Producto 4: PR4. Marcos Regulatorios, Normatividad y Referencias Tecnológicas</w:t>
      </w:r>
    </w:p>
    <w:p>
      <w:pPr>
        <w:pStyle w:val="FirstParagraph"/>
      </w:pPr>
      <w:r>
        <w:t xml:space="preserve">Describir y justificar la aplicación de los marcos legales seleccionados, restricciones del sector, y referentes tecnológicos aplicables el Fondo.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provienen únicamente de los objetivos del proyecto SOA: dependencia de proveedor (OBJ1), fortaleza SOA de las aplicaciones (OBJ2), y el tiempo de mercado (OBJ3).</w:t>
      </w:r>
    </w:p>
    <w:p>
      <w:pPr>
        <w:pStyle w:val="Textoindependiente"/>
      </w:pPr>
    </w:p>
    <w:bookmarkStart w:id="22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Identificar restricciones que modifiquen o afecten a las iniciativas y propuestas de solución SOA para el FNA.</w:t>
      </w:r>
    </w:p>
    <w:p>
      <w:pPr>
        <w:pStyle w:val="Textoindependiente"/>
      </w:pPr>
    </w:p>
    <w:bookmarkEnd w:id="22"/>
    <w:bookmarkStart w:id="23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Lista de normatividad pública del sector ahorro</w:t>
      </w:r>
    </w:p>
    <w:p>
      <w:pPr>
        <w:numPr>
          <w:ilvl w:val="1"/>
          <w:numId w:val="1002"/>
        </w:numPr>
        <w:pStyle w:val="Compact"/>
      </w:pPr>
      <w:r>
        <w:t xml:space="preserve">Justificación de la selección de las normas</w:t>
      </w:r>
    </w:p>
    <w:p>
      <w:pPr>
        <w:numPr>
          <w:ilvl w:val="1"/>
          <w:numId w:val="1002"/>
        </w:numPr>
        <w:pStyle w:val="Compact"/>
      </w:pPr>
      <w:r>
        <w:t xml:space="preserve">Implicaciones para las capacidades SOA del FNA</w:t>
      </w:r>
    </w:p>
    <w:p>
      <w:pPr>
        <w:numPr>
          <w:ilvl w:val="0"/>
          <w:numId w:val="1001"/>
        </w:numPr>
        <w:pStyle w:val="Compact"/>
      </w:pPr>
      <w:r>
        <w:t xml:space="preserve">Referencias tecnológicas de la industria</w:t>
      </w:r>
    </w:p>
    <w:p>
      <w:pPr>
        <w:numPr>
          <w:ilvl w:val="1"/>
          <w:numId w:val="1003"/>
        </w:numPr>
        <w:pStyle w:val="Compact"/>
      </w:pPr>
      <w:r>
        <w:t xml:space="preserve">Justificación de la selección de las referencias</w:t>
      </w:r>
    </w:p>
    <w:p>
      <w:pPr>
        <w:numPr>
          <w:ilvl w:val="1"/>
          <w:numId w:val="1003"/>
        </w:numPr>
        <w:pStyle w:val="Compact"/>
      </w:pPr>
      <w:r>
        <w:t xml:space="preserve">Implicaciones para las capacidades SOA del FNA</w:t>
      </w:r>
    </w:p>
    <w:p>
      <w:pPr>
        <w:pStyle w:val="FirstParagraph"/>
      </w:pPr>
    </w:p>
    <w:bookmarkEnd w:id="23"/>
    <w:bookmarkStart w:id="24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4"/>
        </w:numPr>
        <w:pStyle w:val="Compact"/>
      </w:pPr>
      <w:r>
        <w:t xml:space="preserve">Correspondencia entre las marcos regulatorios, normas y referencias seleccionadas con los aspectos operativos o misionales del FNA</w:t>
      </w:r>
    </w:p>
    <w:p>
      <w:pPr>
        <w:numPr>
          <w:ilvl w:val="0"/>
          <w:numId w:val="1004"/>
        </w:numPr>
        <w:pStyle w:val="Compact"/>
      </w:pPr>
      <w:r>
        <w:t xml:space="preserve">Identificacion de implicaciones positivas (o negativas) para el Fondo</w:t>
      </w:r>
    </w:p>
    <w:p>
      <w:r>
        <w:pict>
          <v:rect style="width:0;height:1.5pt" o:hralign="center" o:hrstd="t" o:hr="t"/>
        </w:pict>
      </w: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2023-08-04T03:34:56Z</dcterms:created>
  <dcterms:modified xsi:type="dcterms:W3CDTF">2023-08-04T03:34:56Z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ase">
    <vt:lpwstr>Fase 1.2</vt:lpwstr>
  </property>
  <property fmtid="{D5CDD505-2E9C-101B-9397-08002B2CF9AE}" pid="3" name="Producto">
    <vt:lpwstr>PR4. Marcos Regulatorios, Normatividad y Referencias Tecnológicas</vt:lpwstr>
  </property>
  <property fmtid="{D5CDD505-2E9C-101B-9397-08002B2CF9AE}" pid="4" name="Tema">
    <vt:lpwstr>Estado SOA Actual</vt:lpwstr>
  </property>
  <property fmtid="{D5CDD505-2E9C-101B-9397-08002B2CF9AE}" pid="5" name="bibliography">
    <vt:lpwstr/>
  </property>
  <property fmtid="{D5CDD505-2E9C-101B-9397-08002B2CF9AE}" pid="6" name="citekey_aliases">
    <vt:lpwstr/>
  </property>
  <property fmtid="{D5CDD505-2E9C-101B-9397-08002B2CF9AE}" pid="7" name="csl">
    <vt:lpwstr>build/assets/style.csl</vt:lpwstr>
  </property>
  <property fmtid="{D5CDD505-2E9C-101B-9397-08002B2CF9AE}" pid="8" name="link-citations">
    <vt:lpwstr>True</vt:lpwstr>
  </property>
  <property fmtid="{D5CDD505-2E9C-101B-9397-08002B2CF9AE}" pid="9" name="references">
    <vt:lpwstr/>
  </property>
</Properties>
</file>