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N003e. Catálogo de Servicios FNA-4</w:t>
              </w:r>
            </w:hyperlink>
          </w:p>
        </w:tc>
      </w:tr>
    </w:tbl>
    <w:p>
      <w:pPr>
        <w:pStyle w:val="Textoindependiente"/>
      </w:pPr>
    </w:p>
    <w:bookmarkStart w:id="27" w:name="X88844aaef349ceb93d6e3dd4c726ca71406a4e7"/>
    <w:p>
      <w:pPr>
        <w:pStyle w:val="Ttulo2"/>
      </w:pPr>
      <w:r>
        <w:t xml:space="preserve">Descripción de la Vista Funcional (arquitectura de referencia)</w:t>
      </w:r>
    </w:p>
    <w:p>
      <w:pPr>
        <w:pStyle w:val="FirstParagraph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Figure"/>
      </w:pPr>
      <w:r>
        <w:drawing>
          <wp:inline>
            <wp:extent cx="5600700" cy="319106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funcional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91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debloque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, alineados además con las áreas de negocio que son objeto de este diagnóstico, pero son también claves para el FNA.</w:t>
      </w:r>
    </w:p>
    <w:p>
      <w:pPr>
        <w:pStyle w:val="FirstParagraph"/>
      </w:pPr>
    </w:p>
    <w:p>
      <w:pPr>
        <w:pStyle w:val="Textoindependiente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6">
        <w:r>
          <w:rPr>
            <w:rStyle w:val="Hipervnculo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Textoindependiente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Textoindependiente"/>
      </w:pPr>
    </w:p>
    <w:bookmarkEnd w:id="27"/>
    <w:bookmarkStart w:id="31" w:name="Xc8492f7b0003322e2f326f8cefc710c62bf04e8"/>
    <w:p>
      <w:pPr>
        <w:pStyle w:val="Ttulo2"/>
      </w:pPr>
      <w:r>
        <w:t xml:space="preserve">Conectores de las Capacidades (arquitectura de referencia)</w:t>
      </w:r>
    </w:p>
    <w:p>
      <w:pPr>
        <w:pStyle w:val="FirstParagraph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Textoindependiente"/>
      </w:pPr>
      <w:r>
        <w:t xml:space="preserve">Describimos las características de estos conectores con los siguientes ejemplos.</w:t>
      </w:r>
      <w:r>
        <w:t xml:space="preserve"> </w:t>
      </w:r>
      <w:r>
        <w:drawing>
          <wp:inline>
            <wp:extent cx="5600700" cy="1954013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conectores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54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bookmarkEnd w:id="31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6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6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2023-01-11T22:54:05Z</dcterms:created>
  <dcterms:modified xsi:type="dcterms:W3CDTF">2023-01-11T22:54:05Z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