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Normas, Regulaciones, Referencias,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6497aef del 30 Jun 2023</w:t>
            </w:r>
          </w:p>
        </w:tc>
      </w:tr>
      <w:tr>
        <w:tc>
          <w:tcPr/>
          <w:p>
            <w:pPr>
              <w:pStyle w:val="Compact"/>
              <w:jc w:val="left"/>
            </w:pPr>
            <w:r>
              <w:t xml:space="preserve">Vínculos</w:t>
            </w:r>
          </w:p>
        </w:tc>
        <w:tc>
          <w:tcPr/>
          <w:p>
            <w:pPr>
              <w:pStyle w:val="Compact"/>
            </w:pPr>
          </w:p>
        </w:tc>
      </w:tr>
    </w:tbl>
    <w:p>
      <w:pPr>
        <w:pStyle w:val="Textoindependiente"/>
      </w:pPr>
    </w:p>
    <w:bookmarkStart w:id="24" w:name="X425fbde9b319b03cbe8571108292e8c36154b36"/>
    <w:p>
      <w:pPr>
        <w:pStyle w:val="Ttulo2"/>
      </w:pPr>
      <w:r>
        <w:t xml:space="preserve">N001. Marco de interoperabilidad para Gobierno Digital</w:t>
      </w:r>
    </w:p>
    <w:bookmarkStart w:id="20" w:name="año-2019"/>
    <w:p>
      <w:pPr>
        <w:pStyle w:val="Ttulo3"/>
      </w:pPr>
      <w:r>
        <w:t xml:space="preserve">Año: 2019</w:t>
      </w:r>
    </w:p>
    <w:bookmarkEnd w:id="20"/>
    <w:bookmarkStart w:id="21" w:name="emisor"/>
    <w:p>
      <w:pPr>
        <w:pStyle w:val="Ttulo3"/>
      </w:pPr>
      <w:r>
        <w:t xml:space="preserve">Emisor</w:t>
      </w:r>
    </w:p>
    <w:p>
      <w:pPr>
        <w:pStyle w:val="FirstParagraph"/>
      </w:pPr>
    </w:p>
    <w:bookmarkEnd w:id="21"/>
    <w:bookmarkStart w:id="22"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2"/>
    <w:bookmarkStart w:id="23"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3"/>
    <w:bookmarkEnd w:id="24"/>
    <w:bookmarkStart w:id="29" w:name="X1a74e3e9e30a7a43d55795b3b165d6576bc391d"/>
    <w:p>
      <w:pPr>
        <w:pStyle w:val="Ttulo2"/>
      </w:pPr>
      <w:r>
        <w:t xml:space="preserve">N002. Guía de Uso del Lenguaje Común de Intercambio de Información y Conceptos Generales</w:t>
      </w:r>
    </w:p>
    <w:bookmarkStart w:id="25" w:name="año-2019-1"/>
    <w:p>
      <w:pPr>
        <w:pStyle w:val="Ttulo3"/>
      </w:pPr>
      <w:r>
        <w:t xml:space="preserve">Año: 2019</w:t>
      </w:r>
    </w:p>
    <w:bookmarkEnd w:id="25"/>
    <w:bookmarkStart w:id="26" w:name="emisor-1"/>
    <w:p>
      <w:pPr>
        <w:pStyle w:val="Ttulo3"/>
      </w:pPr>
      <w:r>
        <w:t xml:space="preserve">Emisor</w:t>
      </w:r>
    </w:p>
    <w:p>
      <w:pPr>
        <w:pStyle w:val="FirstParagraph"/>
      </w:pPr>
    </w:p>
    <w:bookmarkEnd w:id="26"/>
    <w:bookmarkStart w:id="27"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7"/>
    <w:bookmarkStart w:id="28"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8"/>
    <w:bookmarkEnd w:id="29"/>
    <w:bookmarkStart w:id="34" w:name="X20a8ca987249a8286ab2bc24ee6f36d419e998b"/>
    <w:p>
      <w:pPr>
        <w:pStyle w:val="Ttulo2"/>
      </w:pPr>
      <w:r>
        <w:t xml:space="preserve">N003. Guía Técnica de Información - Gobierno del dato</w:t>
      </w:r>
    </w:p>
    <w:bookmarkStart w:id="30" w:name="año-2019-2"/>
    <w:p>
      <w:pPr>
        <w:pStyle w:val="Ttulo3"/>
      </w:pPr>
      <w:r>
        <w:t xml:space="preserve">Año: 2019</w:t>
      </w:r>
    </w:p>
    <w:bookmarkEnd w:id="30"/>
    <w:bookmarkStart w:id="31" w:name="emisor-2"/>
    <w:p>
      <w:pPr>
        <w:pStyle w:val="Ttulo3"/>
      </w:pPr>
      <w:r>
        <w:t xml:space="preserve">Emisor</w:t>
      </w:r>
    </w:p>
    <w:p>
      <w:pPr>
        <w:pStyle w:val="FirstParagraph"/>
      </w:pPr>
    </w:p>
    <w:bookmarkEnd w:id="31"/>
    <w:bookmarkStart w:id="32"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32"/>
    <w:bookmarkStart w:id="33"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3"/>
    <w:bookmarkEnd w:id="34"/>
    <w:bookmarkStart w:id="39" w:name="n004.-isoiec-18384-1"/>
    <w:p>
      <w:pPr>
        <w:pStyle w:val="Ttulo2"/>
      </w:pPr>
      <w:r>
        <w:t xml:space="preserve">N004. ISO/IEC 18384-1</w:t>
      </w:r>
    </w:p>
    <w:bookmarkStart w:id="35" w:name="año-2016"/>
    <w:p>
      <w:pPr>
        <w:pStyle w:val="Ttulo3"/>
      </w:pPr>
      <w:r>
        <w:t xml:space="preserve">Año: 2016</w:t>
      </w:r>
    </w:p>
    <w:bookmarkEnd w:id="35"/>
    <w:bookmarkStart w:id="36" w:name="emisor-3"/>
    <w:p>
      <w:pPr>
        <w:pStyle w:val="Ttulo3"/>
      </w:pPr>
      <w:r>
        <w:t xml:space="preserve">Emisor</w:t>
      </w:r>
    </w:p>
    <w:p>
      <w:pPr>
        <w:pStyle w:val="FirstParagraph"/>
      </w:pPr>
    </w:p>
    <w:bookmarkEnd w:id="36"/>
    <w:bookmarkStart w:id="37"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7"/>
    <w:bookmarkStart w:id="38"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8"/>
    <w:bookmarkEnd w:id="39"/>
    <w:bookmarkStart w:id="44" w:name="n005.-acuerdo-2492-de-2022"/>
    <w:p>
      <w:pPr>
        <w:pStyle w:val="Ttulo2"/>
      </w:pPr>
      <w:r>
        <w:t xml:space="preserve">N005. Acuerdo 2492 de 2022</w:t>
      </w:r>
    </w:p>
    <w:bookmarkStart w:id="40" w:name="año-2022"/>
    <w:p>
      <w:pPr>
        <w:pStyle w:val="Ttulo3"/>
      </w:pPr>
      <w:r>
        <w:t xml:space="preserve">Año: 2022</w:t>
      </w:r>
    </w:p>
    <w:bookmarkEnd w:id="40"/>
    <w:bookmarkStart w:id="41" w:name="emisor-4"/>
    <w:p>
      <w:pPr>
        <w:pStyle w:val="Ttulo3"/>
      </w:pPr>
      <w:r>
        <w:t xml:space="preserve">Emisor</w:t>
      </w:r>
    </w:p>
    <w:p>
      <w:pPr>
        <w:pStyle w:val="FirstParagraph"/>
      </w:pPr>
    </w:p>
    <w:bookmarkEnd w:id="41"/>
    <w:bookmarkStart w:id="42" w:name="justificación-4"/>
    <w:p>
      <w:pPr>
        <w:pStyle w:val="Ttulo3"/>
      </w:pPr>
      <w:r>
        <w:t xml:space="preserve">Justificación</w:t>
      </w:r>
    </w:p>
    <w:p>
      <w:pPr>
        <w:pStyle w:val="FirstParagraph"/>
      </w:pPr>
      <w:r>
        <w:t xml:space="preserve">“</w:t>
      </w:r>
      <w:r>
        <w:t xml:space="preserve">Por el cual se adopta una nueva versión del Manual de Políticas de Seguridad de la Información en el Fondo Nacional del Ahorro</w:t>
      </w:r>
      <w:r>
        <w:t xml:space="preserve">”</w:t>
      </w:r>
    </w:p>
    <w:bookmarkEnd w:id="42"/>
    <w:bookmarkStart w:id="43" w:name="implicaciones-para-el-fondo-4"/>
    <w:p>
      <w:pPr>
        <w:pStyle w:val="Ttulo3"/>
      </w:pPr>
      <w:r>
        <w:t xml:space="preserve">Implicaciones para el Fondo</w:t>
      </w:r>
    </w:p>
    <w:p>
      <w:pPr>
        <w:pStyle w:val="FirstParagraph"/>
      </w:pPr>
      <w:r>
        <w:t xml:space="preserve">Este acuerdo imparte instrucciones que las entidades sometidas a inspección y vigilancia deben adoptar, entre las que se encuentra la obligación de</w:t>
      </w:r>
      <w:r>
        <w:t xml:space="preserve"> </w:t>
      </w:r>
      <w:r>
        <w:t xml:space="preserve">“</w:t>
      </w:r>
      <w:r>
        <w:t xml:space="preserve">Gestionarla seguridad de la información, para lo cual pueden tener como referencia el estándar ISO 27000, o el que lo sustituya</w:t>
      </w:r>
      <w:r>
        <w:t xml:space="preserve">”</w:t>
      </w:r>
      <w:r>
        <w:t xml:space="preserve">, además de apoyar el cumplimiento de las leyes 1266 de 2008, Habeas Data Financiero, 1581 de 2012, Protección de Datos Personales y la Política de Gobierno Digital, Decreto 1078 de 2015, Título 9, Capítulo 1 subrogado por el Decreto 1008 de 2018.</w:t>
      </w:r>
    </w:p>
    <w:p>
      <w:pPr>
        <w:pStyle w:val="Textoindependiente"/>
      </w:pPr>
    </w:p>
    <w:bookmarkEnd w:id="43"/>
    <w:bookmarkEnd w:id="44"/>
    <w:bookmarkStart w:id="49" w:name="n006.-ley-2152-de-2021"/>
    <w:p>
      <w:pPr>
        <w:pStyle w:val="Ttulo2"/>
      </w:pPr>
      <w:r>
        <w:t xml:space="preserve">N006. Ley 2152 de 2021</w:t>
      </w:r>
    </w:p>
    <w:bookmarkStart w:id="45" w:name="año-2021"/>
    <w:p>
      <w:pPr>
        <w:pStyle w:val="Ttulo3"/>
      </w:pPr>
      <w:r>
        <w:t xml:space="preserve">Año: 2021</w:t>
      </w:r>
    </w:p>
    <w:bookmarkEnd w:id="45"/>
    <w:bookmarkStart w:id="46" w:name="emisor-5"/>
    <w:p>
      <w:pPr>
        <w:pStyle w:val="Ttulo3"/>
      </w:pPr>
      <w:r>
        <w:t xml:space="preserve">Emisor</w:t>
      </w:r>
    </w:p>
    <w:p>
      <w:pPr>
        <w:pStyle w:val="FirstParagraph"/>
      </w:pPr>
    </w:p>
    <w:bookmarkEnd w:id="46"/>
    <w:bookmarkStart w:id="47" w:name="justificación-5"/>
    <w:p>
      <w:pPr>
        <w:pStyle w:val="Ttulo3"/>
      </w:pPr>
      <w:r>
        <w:t xml:space="preserve">Justificación</w:t>
      </w:r>
    </w:p>
    <w:p>
      <w:pPr>
        <w:pStyle w:val="FirstParagraph"/>
      </w:pP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p>
    <w:bookmarkEnd w:id="47"/>
    <w:bookmarkStart w:id="48" w:name="implicaciones-para-el-fondo-5"/>
    <w:p>
      <w:pPr>
        <w:pStyle w:val="Ttulo3"/>
      </w:pPr>
      <w:r>
        <w:t xml:space="preserve">Implicaciones para el Fondo</w:t>
      </w:r>
    </w:p>
    <w:p>
      <w:pPr>
        <w:pStyle w:val="FirstParagraph"/>
      </w:pPr>
      <w:r>
        <w:t xml:space="preserve">Se dictan disposiciones generales de Habeas Data y se regula el manejo de la información obtenida en bases de datos personales, en especial la financiera, crediticia, comercial, de servicios y la proveniente de terceros países y se dictan otras disposiciones.</w:t>
      </w:r>
    </w:p>
    <w:p>
      <w:pPr>
        <w:pStyle w:val="Textoindependiente"/>
      </w:pPr>
    </w:p>
    <w:bookmarkEnd w:id="48"/>
    <w:bookmarkEnd w:id="49"/>
    <w:bookmarkStart w:id="54" w:name="n007.-ley-1712-de-2014"/>
    <w:p>
      <w:pPr>
        <w:pStyle w:val="Ttulo2"/>
      </w:pPr>
      <w:r>
        <w:t xml:space="preserve">N007. Ley 1712 de 2014</w:t>
      </w:r>
    </w:p>
    <w:bookmarkStart w:id="50" w:name="año-2014"/>
    <w:p>
      <w:pPr>
        <w:pStyle w:val="Ttulo3"/>
      </w:pPr>
      <w:r>
        <w:t xml:space="preserve">Año: 2014</w:t>
      </w:r>
    </w:p>
    <w:bookmarkEnd w:id="50"/>
    <w:bookmarkStart w:id="51" w:name="emisor-6"/>
    <w:p>
      <w:pPr>
        <w:pStyle w:val="Ttulo3"/>
      </w:pPr>
      <w:r>
        <w:t xml:space="preserve">Emisor</w:t>
      </w:r>
    </w:p>
    <w:p>
      <w:pPr>
        <w:pStyle w:val="FirstParagraph"/>
      </w:pPr>
    </w:p>
    <w:bookmarkEnd w:id="51"/>
    <w:bookmarkStart w:id="52" w:name="justificación-6"/>
    <w:p>
      <w:pPr>
        <w:pStyle w:val="Ttulo3"/>
      </w:pPr>
      <w:r>
        <w:t xml:space="preserve">Justificación</w:t>
      </w:r>
    </w:p>
    <w:p>
      <w:pPr>
        <w:pStyle w:val="FirstParagraph"/>
      </w:pPr>
      <w:r>
        <w:t xml:space="preserve">Por medio de la cual se crea la Ley de Transparencia y del Derecho de acceso a la información pública nacional y se dictan otras disposiciones.</w:t>
      </w:r>
    </w:p>
    <w:bookmarkEnd w:id="52"/>
    <w:bookmarkStart w:id="53" w:name="implicaciones-para-el-fondo-6"/>
    <w:p>
      <w:pPr>
        <w:pStyle w:val="Ttulo3"/>
      </w:pPr>
      <w:r>
        <w:t xml:space="preserve">Implicaciones para el Fondo</w:t>
      </w:r>
    </w:p>
    <w:p>
      <w:pPr>
        <w:pStyle w:val="FirstParagraph"/>
      </w:pPr>
      <w:r>
        <w:t xml:space="preserve">Esta ley busca apertura y acceso a la información pública nacional que es de interes de la ciudadanía en general.</w:t>
      </w:r>
    </w:p>
    <w:p>
      <w:pPr>
        <w:pStyle w:val="Textoindependiente"/>
      </w:pPr>
    </w:p>
    <w:bookmarkEnd w:id="53"/>
    <w:bookmarkEnd w:id="54"/>
    <w:bookmarkStart w:id="59" w:name="X1c8d91aae403c087429d752463d170e3d41d82c"/>
    <w:p>
      <w:pPr>
        <w:pStyle w:val="Ttulo2"/>
      </w:pPr>
      <w:r>
        <w:t xml:space="preserve">N008. Circular Única Superintendencia de Industria y Comercio</w:t>
      </w:r>
    </w:p>
    <w:bookmarkStart w:id="55" w:name="año-2022-1"/>
    <w:p>
      <w:pPr>
        <w:pStyle w:val="Ttulo3"/>
      </w:pPr>
      <w:r>
        <w:t xml:space="preserve">Año: 2022</w:t>
      </w:r>
    </w:p>
    <w:bookmarkEnd w:id="55"/>
    <w:bookmarkStart w:id="56" w:name="emisor-7"/>
    <w:p>
      <w:pPr>
        <w:pStyle w:val="Ttulo3"/>
      </w:pPr>
      <w:r>
        <w:t xml:space="preserve">Emisor</w:t>
      </w:r>
    </w:p>
    <w:p>
      <w:pPr>
        <w:pStyle w:val="FirstParagraph"/>
      </w:pPr>
    </w:p>
    <w:bookmarkEnd w:id="56"/>
    <w:bookmarkStart w:id="57" w:name="justificación-7"/>
    <w:p>
      <w:pPr>
        <w:pStyle w:val="Ttulo3"/>
      </w:pPr>
      <w:r>
        <w:t xml:space="preserve">Justificación</w:t>
      </w:r>
    </w:p>
    <w:p>
      <w:pPr>
        <w:pStyle w:val="FirstParagraph"/>
      </w:pPr>
      <w:r>
        <w:t xml:space="preserve">Circular Única Super Intendencia de Industria y Comercio Protección de Datos Personales de octubre de 2022.</w:t>
      </w:r>
    </w:p>
    <w:bookmarkEnd w:id="57"/>
    <w:bookmarkStart w:id="58" w:name="implicaciones-para-el-fondo-7"/>
    <w:p>
      <w:pPr>
        <w:pStyle w:val="Ttulo3"/>
      </w:pPr>
      <w:r>
        <w:t xml:space="preserve">Implicaciones para el Fondo</w:t>
      </w:r>
    </w:p>
    <w:p>
      <w:pPr>
        <w:pStyle w:val="FirstParagraph"/>
      </w:pPr>
      <w:r>
        <w:t xml:space="preserve">Esta circular busca la protección de datos personales . La información que reporten a los Operadores debe corresponder a las condiciones reales de la obligación al momento del reporte, por lo que la información suministrada debe ser veraz, completa, exacta, actualizada y comprobable y estar sustentada mediante los soportes que permitan demostrar la existencia y las condiciones de la obligación a su favor. No puede reportarse información que carezca de las pruebas que demuestren el origen, existencia y condiciones de la obligación. En caso de haberse efectuado el reporte sin contar con las pruebas que permitan acreditar la existencia y condiciones de la obligación, deberá eliminarse la información una vez surtido el trámite del reclamo respectivo.</w:t>
      </w:r>
    </w:p>
    <w:p>
      <w:pPr>
        <w:pStyle w:val="Textoindependiente"/>
      </w:pPr>
    </w:p>
    <w:bookmarkEnd w:id="58"/>
    <w:bookmarkEnd w:id="59"/>
    <w:bookmarkStart w:id="64" w:name="n009.-acuerdo-2296-de-2020"/>
    <w:p>
      <w:pPr>
        <w:pStyle w:val="Ttulo2"/>
      </w:pPr>
      <w:r>
        <w:t xml:space="preserve">N009. Acuerdo 2296 de 2020</w:t>
      </w:r>
    </w:p>
    <w:bookmarkStart w:id="60" w:name="año-2020"/>
    <w:p>
      <w:pPr>
        <w:pStyle w:val="Ttulo3"/>
      </w:pPr>
      <w:r>
        <w:t xml:space="preserve">Año: 2020</w:t>
      </w:r>
    </w:p>
    <w:bookmarkEnd w:id="60"/>
    <w:bookmarkStart w:id="61" w:name="emisor-8"/>
    <w:p>
      <w:pPr>
        <w:pStyle w:val="Ttulo3"/>
      </w:pPr>
      <w:r>
        <w:t xml:space="preserve">Emisor</w:t>
      </w:r>
    </w:p>
    <w:p>
      <w:pPr>
        <w:pStyle w:val="FirstParagraph"/>
      </w:pPr>
    </w:p>
    <w:bookmarkEnd w:id="61"/>
    <w:bookmarkStart w:id="62" w:name="justificación-8"/>
    <w:p>
      <w:pPr>
        <w:pStyle w:val="Ttulo3"/>
      </w:pPr>
      <w:r>
        <w:t xml:space="preserve">Justificación</w:t>
      </w:r>
    </w:p>
    <w:p>
      <w:pPr>
        <w:pStyle w:val="FirstParagraph"/>
      </w:pPr>
      <w:r>
        <w:t xml:space="preserve">Por el cual se expide una nueva versión del Reglamento de Cesantías en el Fondo Nacional del Ahorro Carlos Lleras Restrepo.</w:t>
      </w:r>
    </w:p>
    <w:bookmarkEnd w:id="62"/>
    <w:bookmarkStart w:id="63" w:name="implicaciones-para-el-fondo-8"/>
    <w:p>
      <w:pPr>
        <w:pStyle w:val="Ttulo3"/>
      </w:pPr>
      <w:r>
        <w:t xml:space="preserve">Implicaciones para el Fondo</w:t>
      </w:r>
    </w:p>
    <w:p>
      <w:pPr>
        <w:pStyle w:val="FirstParagraph"/>
      </w:pPr>
      <w:r>
        <w:t xml:space="preserve">Acuerdo que modifica el reglamento de cesantías y entre otras consideraciones busca implementar la política de administrar las cesantías de los afiliados de manera eficiente y de mecanismos de seguridad y calidad en el manejo de la información.</w:t>
      </w:r>
    </w:p>
    <w:p>
      <w:pPr>
        <w:pStyle w:val="Textoindependiente"/>
      </w:pPr>
    </w:p>
    <w:bookmarkEnd w:id="63"/>
    <w:bookmarkEnd w:id="64"/>
    <w:bookmarkStart w:id="69" w:name="n010.-acuerdo-2473-de-2022"/>
    <w:p>
      <w:pPr>
        <w:pStyle w:val="Ttulo2"/>
      </w:pPr>
      <w:r>
        <w:t xml:space="preserve">N010. Acuerdo 2473 de 2022</w:t>
      </w:r>
    </w:p>
    <w:bookmarkStart w:id="65" w:name="año-2022-2"/>
    <w:p>
      <w:pPr>
        <w:pStyle w:val="Ttulo3"/>
      </w:pPr>
      <w:r>
        <w:t xml:space="preserve">Año: 2022</w:t>
      </w:r>
    </w:p>
    <w:bookmarkEnd w:id="65"/>
    <w:bookmarkStart w:id="66" w:name="emisor-9"/>
    <w:p>
      <w:pPr>
        <w:pStyle w:val="Ttulo3"/>
      </w:pPr>
      <w:r>
        <w:t xml:space="preserve">Emisor</w:t>
      </w:r>
    </w:p>
    <w:p>
      <w:pPr>
        <w:pStyle w:val="FirstParagraph"/>
      </w:pPr>
    </w:p>
    <w:bookmarkEnd w:id="66"/>
    <w:bookmarkStart w:id="67" w:name="justificación-9"/>
    <w:p>
      <w:pPr>
        <w:pStyle w:val="Ttulo3"/>
      </w:pPr>
      <w:r>
        <w:t xml:space="preserve">Justificación</w:t>
      </w:r>
    </w:p>
    <w:p>
      <w:pPr>
        <w:pStyle w:val="FirstParagraph"/>
      </w:pPr>
      <w:r>
        <w:t xml:space="preserve">Por el cual se adopta una nueva versión del Manual de Administración del Riesgo de Lavado de Activos y Financiación del Terrorismo – SARLAFT en el Fondo Nacional del Ahorro.</w:t>
      </w:r>
    </w:p>
    <w:bookmarkEnd w:id="67"/>
    <w:bookmarkStart w:id="68" w:name="implicaciones-para-el-fondo-9"/>
    <w:p>
      <w:pPr>
        <w:pStyle w:val="Ttulo3"/>
      </w:pPr>
      <w:r>
        <w:t xml:space="preserve">Implicaciones para el Fondo</w:t>
      </w:r>
    </w:p>
    <w:p>
      <w:pPr>
        <w:pStyle w:val="FirstParagraph"/>
      </w:pPr>
      <w:r>
        <w:t xml:space="preserve">Acuerdo paraadoptar una nueva versión del Manual SARLAFT con el fin de actualizarlo en cumplimiento de lo establecido en la Circular 027 de 2020 de la Superintendencia Financiera de Colombia, en cuanto a: Incluir en el proceso de conocimiento de afiliados de la entidad, la vinculación simplificada de afiliados que se intenten vincular al producto de cesantías, en cumplimiento de la CE 027 del 2020 en lo dispuesto en el numeral 4.2.2.2.1.4.</w:t>
      </w:r>
    </w:p>
    <w:p>
      <w:pPr>
        <w:pStyle w:val="Textoindependiente"/>
      </w:pPr>
    </w:p>
    <w:bookmarkEnd w:id="68"/>
    <w:bookmarkEnd w:id="69"/>
    <w:bookmarkStart w:id="74" w:name="Xc7bb8f26720cb095b19e28a33c16fe6212e9167"/>
    <w:p>
      <w:pPr>
        <w:pStyle w:val="Ttulo2"/>
      </w:pPr>
      <w:r>
        <w:t xml:space="preserve">N011. Circular Externa 052 Capítulo decimo segundo</w:t>
      </w:r>
    </w:p>
    <w:bookmarkStart w:id="70" w:name="año-2007"/>
    <w:p>
      <w:pPr>
        <w:pStyle w:val="Ttulo3"/>
      </w:pPr>
      <w:r>
        <w:t xml:space="preserve">Año: 2007</w:t>
      </w:r>
    </w:p>
    <w:bookmarkEnd w:id="70"/>
    <w:bookmarkStart w:id="71" w:name="emisor-10"/>
    <w:p>
      <w:pPr>
        <w:pStyle w:val="Ttulo3"/>
      </w:pPr>
      <w:r>
        <w:t xml:space="preserve">Emisor</w:t>
      </w:r>
    </w:p>
    <w:p>
      <w:pPr>
        <w:pStyle w:val="FirstParagraph"/>
      </w:pPr>
    </w:p>
    <w:bookmarkEnd w:id="71"/>
    <w:bookmarkStart w:id="72" w:name="justificación-10"/>
    <w:p>
      <w:pPr>
        <w:pStyle w:val="Ttulo3"/>
      </w:pPr>
      <w:r>
        <w:t xml:space="preserve">Justificación</w:t>
      </w:r>
    </w:p>
    <w:p>
      <w:pPr>
        <w:pStyle w:val="FirstParagraph"/>
      </w:pPr>
      <w:r>
        <w:t xml:space="preserve">Requerimientos mínimos de seguridad y calidad en el manejo de información a través de medios y canales de distribución de productos y servicios</w:t>
      </w:r>
    </w:p>
    <w:bookmarkEnd w:id="72"/>
    <w:bookmarkStart w:id="73" w:name="implicaciones-para-el-fondo-10"/>
    <w:p>
      <w:pPr>
        <w:pStyle w:val="Ttulo3"/>
      </w:pPr>
      <w:r>
        <w:t xml:space="preserve">Implicaciones para el Fondo</w:t>
      </w:r>
    </w:p>
    <w:p>
      <w:pPr>
        <w:pStyle w:val="FirstParagraph"/>
      </w:pPr>
      <w:r>
        <w:t xml:space="preserve">Es de obligatorio cumplimiento y define el mínimo cumplimiento por Ley para evitar sanciones por parte de la Superintendencia Financiera de Colombia (SFC).</w:t>
      </w:r>
    </w:p>
    <w:p>
      <w:pPr>
        <w:pStyle w:val="Textoindependiente"/>
      </w:pPr>
    </w:p>
    <w:p>
      <w:pPr>
        <w:pStyle w:val="Textoindependiente"/>
      </w:pPr>
    </w:p>
    <w:bookmarkEnd w:id="73"/>
    <w:bookmarkEnd w:id="74"/>
    <w:bookmarkStart w:id="79" w:name="n012.-circular-externa-005-capítulo-seis"/>
    <w:p>
      <w:pPr>
        <w:pStyle w:val="Ttulo2"/>
      </w:pPr>
      <w:r>
        <w:t xml:space="preserve">N012. Circular Externa 005 Capítulo seis</w:t>
      </w:r>
    </w:p>
    <w:bookmarkStart w:id="75" w:name="año-2019-3"/>
    <w:p>
      <w:pPr>
        <w:pStyle w:val="Ttulo3"/>
      </w:pPr>
      <w:r>
        <w:t xml:space="preserve">Año: 2019</w:t>
      </w:r>
    </w:p>
    <w:bookmarkEnd w:id="75"/>
    <w:bookmarkStart w:id="76" w:name="emisor-11"/>
    <w:p>
      <w:pPr>
        <w:pStyle w:val="Ttulo3"/>
      </w:pPr>
      <w:r>
        <w:t xml:space="preserve">Emisor</w:t>
      </w:r>
    </w:p>
    <w:p>
      <w:pPr>
        <w:pStyle w:val="FirstParagraph"/>
      </w:pPr>
    </w:p>
    <w:bookmarkEnd w:id="76"/>
    <w:bookmarkStart w:id="77" w:name="justificación-11"/>
    <w:p>
      <w:pPr>
        <w:pStyle w:val="Ttulo3"/>
      </w:pPr>
      <w:r>
        <w:t xml:space="preserve">Justificación</w:t>
      </w:r>
    </w:p>
    <w:p>
      <w:pPr>
        <w:pStyle w:val="FirstParagraph"/>
      </w:pPr>
      <w:r>
        <w:t xml:space="preserve">Es necesario conocer las reglas relativas al uso de servicios de computación en la nube, ya que estas condiciones pueden limitar la elección de ciertos tipo de tecnologías.</w:t>
      </w:r>
    </w:p>
    <w:bookmarkEnd w:id="77"/>
    <w:bookmarkStart w:id="78" w:name="implicaciones-para-el-fondo-11"/>
    <w:p>
      <w:pPr>
        <w:pStyle w:val="Ttulo3"/>
      </w:pPr>
      <w:r>
        <w:t xml:space="preserve">Implicaciones para el Fondo</w:t>
      </w:r>
    </w:p>
    <w:p>
      <w:pPr>
        <w:pStyle w:val="FirstParagraph"/>
      </w:pPr>
      <w:r>
        <w:t xml:space="preserve">En el caso de considerar soluciones basadas en computación en la nube que lleguen a soportar procesos y actividades de tipo misional es necesario cumplir los lineamientos establecidos por la Superintendencia Financiera de Colombia (SFC)</w:t>
      </w:r>
    </w:p>
    <w:p>
      <w:pPr>
        <w:pStyle w:val="Textoindependiente"/>
      </w:pPr>
    </w:p>
    <w:bookmarkEnd w:id="78"/>
    <w:bookmarkEnd w:id="79"/>
    <w:bookmarkStart w:id="8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1377"/>
        <w:gridCol w:w="2066"/>
        <w:gridCol w:w="1549"/>
        <w:gridCol w:w="2926"/>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Conjunto de principios, políticas y recomendaciones que busca facilitar y optimizar el ejercicio de colaboración entre organizaciones para intercambiar información y conocimiento, en el marco de sus procesos de negocio.</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Conjunto de pautas para hacer uso del Lenguaje Común de Intercambio de Información, donde se encuentra la definición, requisitos y pasos a cumplir.</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Define los aspectos que deben tener en cuenta las instituciones del sector público para realizar un adecuado gobierno del dato.</w:t>
            </w:r>
          </w:p>
        </w:tc>
      </w:tr>
      <w:tr>
        <w:tc>
          <w:tcPr/>
          <w:p>
            <w:pPr>
              <w:pStyle w:val="Compact"/>
              <w:jc w:val="left"/>
            </w:pPr>
            <w:r>
              <w:t xml:space="preserve">N004</w:t>
            </w:r>
          </w:p>
        </w:tc>
        <w:tc>
          <w:tcPr/>
          <w:p>
            <w:pPr>
              <w:pStyle w:val="Compact"/>
              <w:jc w:val="left"/>
            </w:pPr>
            <w:r>
              <w:t xml:space="preserve">ISO/IEC 18384-1:2016(en) 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Establece el vocabulario, las directrices y los principios técnicos generales que subyacen a la arquitectura orientada a servicios (SOA).</w:t>
            </w:r>
          </w:p>
        </w:tc>
      </w:tr>
      <w:tr>
        <w:tc>
          <w:tcPr/>
          <w:p>
            <w:pPr>
              <w:pStyle w:val="Compact"/>
              <w:jc w:val="left"/>
            </w:pPr>
            <w:r>
              <w:t xml:space="preserve">N005</w:t>
            </w:r>
          </w:p>
        </w:tc>
        <w:tc>
          <w:tcPr/>
          <w:p>
            <w:pPr>
              <w:pStyle w:val="Compact"/>
              <w:jc w:val="left"/>
            </w:pPr>
            <w:r>
              <w:t xml:space="preserve">Acuerdo 2492 de 2022</w:t>
            </w:r>
          </w:p>
        </w:tc>
        <w:tc>
          <w:tcPr/>
          <w:p>
            <w:pPr>
              <w:pStyle w:val="Compact"/>
              <w:jc w:val="left"/>
            </w:pPr>
            <w:r>
              <w:t xml:space="preserve">2022</w:t>
            </w:r>
          </w:p>
        </w:tc>
        <w:tc>
          <w:tcPr/>
          <w:p>
            <w:pPr>
              <w:pStyle w:val="Compact"/>
              <w:jc w:val="left"/>
            </w:pPr>
            <w:r>
              <w:t xml:space="preserve">“</w:t>
            </w:r>
            <w:r>
              <w:t xml:space="preserve">Por el cual se adopta una nueva versión del Manual de Políticas de Seguridad de la Información en el Fondo Nacional del Ahorro</w:t>
            </w:r>
            <w:r>
              <w:t xml:space="preserve">”</w:t>
            </w:r>
          </w:p>
        </w:tc>
      </w:tr>
      <w:tr>
        <w:tc>
          <w:tcPr/>
          <w:p>
            <w:pPr>
              <w:pStyle w:val="Compact"/>
              <w:jc w:val="left"/>
            </w:pPr>
            <w:r>
              <w:t xml:space="preserve">N006</w:t>
            </w:r>
          </w:p>
        </w:tc>
        <w:tc>
          <w:tcPr/>
          <w:p>
            <w:pPr>
              <w:pStyle w:val="Compact"/>
              <w:jc w:val="left"/>
            </w:pPr>
            <w:r>
              <w:t xml:space="preserve">Ley 2152 de 2021</w:t>
            </w:r>
          </w:p>
        </w:tc>
        <w:tc>
          <w:tcPr/>
          <w:p>
            <w:pPr>
              <w:pStyle w:val="Compact"/>
              <w:jc w:val="left"/>
            </w:pPr>
            <w:r>
              <w:t xml:space="preserve">2021</w:t>
            </w:r>
          </w:p>
        </w:tc>
        <w:tc>
          <w:tcPr/>
          <w:p>
            <w:pPr>
              <w:pStyle w:val="Compact"/>
              <w:jc w:val="left"/>
            </w:pPr>
            <w:r>
              <w:t xml:space="preserve">“</w:t>
            </w: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r>
              <w:t xml:space="preserve">”</w:t>
            </w:r>
          </w:p>
        </w:tc>
      </w:tr>
      <w:tr>
        <w:tc>
          <w:tcPr/>
          <w:p>
            <w:pPr>
              <w:pStyle w:val="Compact"/>
              <w:jc w:val="left"/>
            </w:pPr>
            <w:r>
              <w:t xml:space="preserve">N007</w:t>
            </w:r>
          </w:p>
        </w:tc>
        <w:tc>
          <w:tcPr/>
          <w:p>
            <w:pPr>
              <w:pStyle w:val="Compact"/>
              <w:jc w:val="left"/>
            </w:pPr>
            <w:r>
              <w:t xml:space="preserve">Ley 1712 de 2014</w:t>
            </w:r>
          </w:p>
        </w:tc>
        <w:tc>
          <w:tcPr/>
          <w:p>
            <w:pPr>
              <w:pStyle w:val="Compact"/>
              <w:jc w:val="left"/>
            </w:pPr>
            <w:r>
              <w:t xml:space="preserve">2014</w:t>
            </w:r>
          </w:p>
        </w:tc>
        <w:tc>
          <w:tcPr/>
          <w:p>
            <w:pPr>
              <w:pStyle w:val="Compact"/>
              <w:jc w:val="left"/>
            </w:pPr>
            <w:r>
              <w:t xml:space="preserve">“</w:t>
            </w:r>
            <w:r>
              <w:t xml:space="preserve">Por medio de la cual se crea la Ley de Transparencia y del Derecho de acceso a la información pública nacional y se dictan otras disposiciones</w:t>
            </w:r>
            <w:r>
              <w:t xml:space="preserve">”</w:t>
            </w:r>
          </w:p>
        </w:tc>
      </w:tr>
      <w:tr>
        <w:tc>
          <w:tcPr/>
          <w:p>
            <w:pPr>
              <w:pStyle w:val="Compact"/>
              <w:jc w:val="left"/>
            </w:pPr>
            <w:r>
              <w:t xml:space="preserve">N008</w:t>
            </w:r>
          </w:p>
        </w:tc>
        <w:tc>
          <w:tcPr/>
          <w:p>
            <w:pPr>
              <w:pStyle w:val="Compact"/>
              <w:jc w:val="left"/>
            </w:pPr>
            <w:r>
              <w:t xml:space="preserve">Circular Única Superintendencia de Industria y Comercio</w:t>
            </w:r>
          </w:p>
        </w:tc>
        <w:tc>
          <w:tcPr/>
          <w:p>
            <w:pPr>
              <w:pStyle w:val="Compact"/>
              <w:jc w:val="left"/>
            </w:pPr>
            <w:r>
              <w:t xml:space="preserve">2022</w:t>
            </w:r>
          </w:p>
        </w:tc>
        <w:tc>
          <w:tcPr/>
          <w:p>
            <w:pPr>
              <w:pStyle w:val="Compact"/>
              <w:jc w:val="left"/>
            </w:pPr>
            <w:r>
              <w:t xml:space="preserve">Circular Única Super Intendencia de Industria y Comercio Protección de Datos Personales de octubre de 2022</w:t>
            </w:r>
          </w:p>
        </w:tc>
      </w:tr>
      <w:tr>
        <w:tc>
          <w:tcPr/>
          <w:p>
            <w:pPr>
              <w:pStyle w:val="Compact"/>
              <w:jc w:val="left"/>
            </w:pPr>
            <w:r>
              <w:t xml:space="preserve">N009</w:t>
            </w:r>
          </w:p>
        </w:tc>
        <w:tc>
          <w:tcPr/>
          <w:p>
            <w:pPr>
              <w:pStyle w:val="Compact"/>
              <w:jc w:val="left"/>
            </w:pPr>
            <w:r>
              <w:t xml:space="preserve">Acuerdo 2296 de 2020</w:t>
            </w:r>
          </w:p>
        </w:tc>
        <w:tc>
          <w:tcPr/>
          <w:p>
            <w:pPr>
              <w:pStyle w:val="Compact"/>
              <w:jc w:val="left"/>
            </w:pPr>
            <w:r>
              <w:t xml:space="preserve">2020</w:t>
            </w:r>
          </w:p>
        </w:tc>
        <w:tc>
          <w:tcPr/>
          <w:p>
            <w:pPr>
              <w:pStyle w:val="Compact"/>
              <w:jc w:val="left"/>
            </w:pPr>
            <w:r>
              <w:t xml:space="preserve">“</w:t>
            </w:r>
            <w:r>
              <w:t xml:space="preserve">Por el cual se expide una nueva versión del Reglamento de Cesantías en el Fondo Nacional del Ahorro Carlos Lleras Restrepo</w:t>
            </w:r>
            <w:r>
              <w:t xml:space="preserve">”</w:t>
            </w:r>
          </w:p>
        </w:tc>
      </w:tr>
      <w:tr>
        <w:tc>
          <w:tcPr/>
          <w:p>
            <w:pPr>
              <w:pStyle w:val="Compact"/>
              <w:jc w:val="left"/>
            </w:pPr>
            <w:r>
              <w:t xml:space="preserve">N010</w:t>
            </w:r>
          </w:p>
        </w:tc>
        <w:tc>
          <w:tcPr/>
          <w:p>
            <w:pPr>
              <w:pStyle w:val="Compact"/>
              <w:jc w:val="left"/>
            </w:pPr>
            <w:r>
              <w:t xml:space="preserve">Acuerdo 2473 de 2022</w:t>
            </w:r>
          </w:p>
        </w:tc>
        <w:tc>
          <w:tcPr/>
          <w:p>
            <w:pPr>
              <w:pStyle w:val="Compact"/>
              <w:jc w:val="left"/>
            </w:pPr>
            <w:r>
              <w:t xml:space="preserve">2022</w:t>
            </w:r>
          </w:p>
        </w:tc>
        <w:tc>
          <w:tcPr/>
          <w:p>
            <w:pPr>
              <w:pStyle w:val="Compact"/>
              <w:jc w:val="left"/>
            </w:pPr>
            <w:r>
              <w:t xml:space="preserve">“</w:t>
            </w:r>
            <w:r>
              <w:t xml:space="preserve">Por el cual se adopta una nueva versión del Manual de Administración del Riesgo de Lavado de Activos y Financiación del Terrorismo – SARLAFT en el Fondo Nacional del Ahorro</w:t>
            </w:r>
            <w:r>
              <w:t xml:space="preserve">”</w:t>
            </w:r>
          </w:p>
        </w:tc>
      </w:tr>
      <w:tr>
        <w:tc>
          <w:tcPr/>
          <w:p>
            <w:pPr>
              <w:pStyle w:val="Compact"/>
              <w:jc w:val="left"/>
            </w:pPr>
            <w:r>
              <w:t xml:space="preserve">N011</w:t>
            </w:r>
          </w:p>
        </w:tc>
        <w:tc>
          <w:tcPr/>
          <w:p>
            <w:pPr>
              <w:pStyle w:val="Compact"/>
              <w:jc w:val="left"/>
            </w:pPr>
            <w:r>
              <w:t xml:space="preserve">Circular Externa 052 Capitulo decimo segundo</w:t>
            </w:r>
          </w:p>
        </w:tc>
        <w:tc>
          <w:tcPr/>
          <w:p>
            <w:pPr>
              <w:pStyle w:val="Compact"/>
              <w:jc w:val="left"/>
            </w:pPr>
            <w:r>
              <w:t xml:space="preserve">2007</w:t>
            </w:r>
          </w:p>
        </w:tc>
        <w:tc>
          <w:tcPr/>
          <w:p>
            <w:pPr>
              <w:pStyle w:val="Compact"/>
              <w:jc w:val="left"/>
            </w:pPr>
            <w:r>
              <w:t xml:space="preserve">“</w:t>
            </w:r>
            <w:r>
              <w:t xml:space="preserve">Requerimientos mínimos de seguridad y calidad en el manejo de información a través de medios y canales de distribución de productos y servicios</w:t>
            </w:r>
            <w:r>
              <w:t xml:space="preserve">”</w:t>
            </w:r>
          </w:p>
        </w:tc>
      </w:tr>
      <w:tr>
        <w:tc>
          <w:tcPr/>
          <w:p>
            <w:pPr>
              <w:pStyle w:val="Compact"/>
              <w:jc w:val="left"/>
            </w:pPr>
            <w:r>
              <w:t xml:space="preserve">N012</w:t>
            </w:r>
          </w:p>
        </w:tc>
        <w:tc>
          <w:tcPr/>
          <w:p>
            <w:pPr>
              <w:pStyle w:val="Compact"/>
              <w:jc w:val="left"/>
            </w:pPr>
            <w:r>
              <w:t xml:space="preserve">Circular Externa 005 Capítulo seis</w:t>
            </w:r>
          </w:p>
        </w:tc>
        <w:tc>
          <w:tcPr/>
          <w:p>
            <w:pPr>
              <w:pStyle w:val="Compact"/>
              <w:jc w:val="left"/>
            </w:pPr>
            <w:r>
              <w:t xml:space="preserve">2019</w:t>
            </w:r>
          </w:p>
        </w:tc>
        <w:tc>
          <w:tcPr/>
          <w:p>
            <w:pPr>
              <w:pStyle w:val="Compact"/>
              <w:jc w:val="left"/>
            </w:pPr>
            <w:r>
              <w:t xml:space="preserve">“</w:t>
            </w:r>
            <w:r>
              <w:t xml:space="preserve">Reglas relativas al uso de servicios de computación en la nube</w:t>
            </w:r>
            <w:r>
              <w:t xml:space="preserve">”</w:t>
            </w:r>
          </w:p>
        </w:tc>
      </w:tr>
    </w:tbl>
    <w:p>
      <w:r>
        <w:pict>
          <v:rect style="width:0;height:1.5pt" o:hralign="center" o:hrstd="t" o:hr="t"/>
        </w:pict>
      </w:r>
    </w:p>
    <w:bookmarkEnd w:id="8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2023-06-30T12:30:57Z</dcterms:created>
  <dcterms:modified xsi:type="dcterms:W3CDTF">2023-06-30T12:30:57Z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