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0e365ee del 26 Jan 2023</w:t>
            </w:r>
          </w:p>
        </w:tc>
      </w:tr>
      <w:tr>
        <w:tc>
          <w:tcPr/>
          <w:p>
            <w:pPr>
              <w:pStyle w:val="Compact"/>
              <w:jc w:val="left"/>
            </w:pPr>
            <w:r>
              <w:t xml:space="preserve">Vínculos</w:t>
            </w:r>
          </w:p>
        </w:tc>
        <w:tc>
          <w:tcPr/>
          <w:p>
            <w:pPr>
              <w:pStyle w:val="Compact"/>
            </w:pPr>
          </w:p>
        </w:tc>
      </w:tr>
    </w:tbl>
    <w:p>
      <w:pPr>
        <w:pStyle w:val="Textoindependiente"/>
      </w:pPr>
    </w:p>
    <w:bookmarkStart w:id="24" w:name="X425fbde9b319b03cbe8571108292e8c36154b36"/>
    <w:p>
      <w:pPr>
        <w:pStyle w:val="Ttulo2"/>
      </w:pPr>
      <w:r>
        <w:t xml:space="preserve">N001. Marco de interoperabilidad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X1c8d91aae403c087429d752463d170e3d41d82c"/>
    <w:p>
      <w:pPr>
        <w:pStyle w:val="Ttulo2"/>
      </w:pPr>
      <w:r>
        <w:t xml:space="preserve">N008. Circular Única Superintendencia de Industria y Comercio</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4" w:name="Xc7bb8f26720cb095b19e28a33c16fe6212e9167"/>
    <w:p>
      <w:pPr>
        <w:pStyle w:val="Ttulo2"/>
      </w:pPr>
      <w:r>
        <w:t xml:space="preserve">N011. Circular Externa 052 Capítulo decimo segundo</w:t>
      </w:r>
    </w:p>
    <w:bookmarkStart w:id="70" w:name="año-2007"/>
    <w:p>
      <w:pPr>
        <w:pStyle w:val="Ttulo3"/>
      </w:pPr>
      <w:r>
        <w:t xml:space="preserve">Año: 2007</w:t>
      </w:r>
    </w:p>
    <w:bookmarkEnd w:id="70"/>
    <w:bookmarkStart w:id="71" w:name="emisor-10"/>
    <w:p>
      <w:pPr>
        <w:pStyle w:val="Ttulo3"/>
      </w:pPr>
      <w:r>
        <w:t xml:space="preserve">Emisor</w:t>
      </w:r>
    </w:p>
    <w:p>
      <w:pPr>
        <w:pStyle w:val="FirstParagraph"/>
      </w:pPr>
    </w:p>
    <w:bookmarkEnd w:id="71"/>
    <w:bookmarkStart w:id="72" w:name="justificación-10"/>
    <w:p>
      <w:pPr>
        <w:pStyle w:val="Ttulo3"/>
      </w:pPr>
      <w:r>
        <w:t xml:space="preserve">Justificación</w:t>
      </w:r>
    </w:p>
    <w:p>
      <w:pPr>
        <w:pStyle w:val="FirstParagraph"/>
      </w:pPr>
      <w:r>
        <w:t xml:space="preserve">Requerimientos mínimos de seguridad y calidad en el manejo de información a través de medios y canales de distribución de productos y servicios</w:t>
      </w:r>
    </w:p>
    <w:bookmarkEnd w:id="72"/>
    <w:bookmarkStart w:id="73" w:name="implicaciones-para-el-fondo-10"/>
    <w:p>
      <w:pPr>
        <w:pStyle w:val="Ttulo3"/>
      </w:pPr>
      <w:r>
        <w:t xml:space="preserve">Implicaciones para el Fondo</w:t>
      </w:r>
    </w:p>
    <w:p>
      <w:pPr>
        <w:pStyle w:val="FirstParagraph"/>
      </w:pPr>
      <w:r>
        <w:t xml:space="preserve">Es de obligatorio cumplimiento y define el mínimo cumplimiento por Ley para evitar sanciones por parte de la Superintendencia Financiera de Colombia (SFC).</w:t>
      </w:r>
    </w:p>
    <w:p>
      <w:pPr>
        <w:pStyle w:val="Textoindependiente"/>
      </w:pPr>
    </w:p>
    <w:p>
      <w:pPr>
        <w:pStyle w:val="Textoindependiente"/>
      </w:pPr>
    </w:p>
    <w:bookmarkEnd w:id="73"/>
    <w:bookmarkEnd w:id="74"/>
    <w:bookmarkStart w:id="79" w:name="n012.-circular-externa-005-capítulo-seis"/>
    <w:p>
      <w:pPr>
        <w:pStyle w:val="Ttulo2"/>
      </w:pPr>
      <w:r>
        <w:t xml:space="preserve">N012. Circular Externa 005 Capítulo seis</w:t>
      </w:r>
    </w:p>
    <w:bookmarkStart w:id="75" w:name="año-2019-3"/>
    <w:p>
      <w:pPr>
        <w:pStyle w:val="Ttulo3"/>
      </w:pPr>
      <w:r>
        <w:t xml:space="preserve">Año: 2019</w:t>
      </w:r>
    </w:p>
    <w:bookmarkEnd w:id="75"/>
    <w:bookmarkStart w:id="76" w:name="emisor-11"/>
    <w:p>
      <w:pPr>
        <w:pStyle w:val="Ttulo3"/>
      </w:pPr>
      <w:r>
        <w:t xml:space="preserve">Emisor</w:t>
      </w:r>
    </w:p>
    <w:p>
      <w:pPr>
        <w:pStyle w:val="FirstParagraph"/>
      </w:pPr>
    </w:p>
    <w:bookmarkEnd w:id="76"/>
    <w:bookmarkStart w:id="77" w:name="justificación-11"/>
    <w:p>
      <w:pPr>
        <w:pStyle w:val="Ttulo3"/>
      </w:pPr>
      <w:r>
        <w:t xml:space="preserve">Justificación</w:t>
      </w:r>
    </w:p>
    <w:p>
      <w:pPr>
        <w:pStyle w:val="FirstParagraph"/>
      </w:pPr>
      <w:r>
        <w:t xml:space="preserve">Es necesario conocer las reglas relativas al uso de servicios de computación en la nube, ya que estas condiciones pueden limitar la elección de ciertos tipo de tecnologías.</w:t>
      </w:r>
    </w:p>
    <w:bookmarkEnd w:id="77"/>
    <w:bookmarkStart w:id="78" w:name="implicaciones-para-el-fondo-11"/>
    <w:p>
      <w:pPr>
        <w:pStyle w:val="Ttulo3"/>
      </w:pPr>
      <w:r>
        <w:t xml:space="preserve">Implicaciones para el Fondo</w:t>
      </w:r>
    </w:p>
    <w:p>
      <w:pPr>
        <w:pStyle w:val="FirstParagraph"/>
      </w:pPr>
      <w:r>
        <w:t xml:space="preserve">En el caso de considerar soluciones basadas en computación en la nube que lleguen a soportar procesos y actividades de tipo misional es necesario cumplir los lineamientos establecidos por la Superintendencia Financiera de Colombia (SFC)</w:t>
      </w:r>
    </w:p>
    <w:p>
      <w:pPr>
        <w:pStyle w:val="Textoindependiente"/>
      </w:pPr>
    </w:p>
    <w:bookmarkEnd w:id="78"/>
    <w:bookmarkEnd w:id="79"/>
    <w:bookmarkStart w:id="8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Conjunto de principios, políticas y recomendaciones que busca facilitar y optimizar el ejercicio de colaboración entre organizaciones para intercambiar información y conocimiento, en el marco de sus procesos de negocio.</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Conjunto de pautas para hacer uso del Lenguaje Común de Intercambio de Información, donde se encuentra la definición, requisitos y pasos a cumplir.</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Define los aspectos que deben tener en cuenta las instituciones del sector público para realizar un adecuado gobierno del dato.</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Establece el vocabulario, las directrices y los principios técnicos generales que subyacen a la arquitectura orientada a servicios (SOA).</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 Única Superintendencia de Industria y Comercio</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r>
        <w:tc>
          <w:tcPr/>
          <w:p>
            <w:pPr>
              <w:pStyle w:val="Compact"/>
              <w:jc w:val="left"/>
            </w:pPr>
            <w:r>
              <w:t xml:space="preserve">N011</w:t>
            </w:r>
          </w:p>
        </w:tc>
        <w:tc>
          <w:tcPr/>
          <w:p>
            <w:pPr>
              <w:pStyle w:val="Compact"/>
              <w:jc w:val="left"/>
            </w:pPr>
            <w:r>
              <w:t xml:space="preserve">Circular Externa 052 Capitulo decimo segundo</w:t>
            </w:r>
          </w:p>
        </w:tc>
        <w:tc>
          <w:tcPr/>
          <w:p>
            <w:pPr>
              <w:pStyle w:val="Compact"/>
              <w:jc w:val="left"/>
            </w:pPr>
            <w:r>
              <w:t xml:space="preserve">2007</w:t>
            </w:r>
          </w:p>
        </w:tc>
        <w:tc>
          <w:tcPr/>
          <w:p>
            <w:pPr>
              <w:pStyle w:val="Compact"/>
              <w:jc w:val="left"/>
            </w:pPr>
            <w:r>
              <w:t xml:space="preserve">“</w:t>
            </w:r>
            <w:r>
              <w:t xml:space="preserve">Requerimientos mínimos de seguridad y calidad en el manejo de información a través de medios y canales de distribución de productos y servicios</w:t>
            </w:r>
            <w:r>
              <w:t xml:space="preserve">”</w:t>
            </w:r>
          </w:p>
        </w:tc>
      </w:tr>
      <w:tr>
        <w:tc>
          <w:tcPr/>
          <w:p>
            <w:pPr>
              <w:pStyle w:val="Compact"/>
              <w:jc w:val="left"/>
            </w:pPr>
            <w:r>
              <w:t xml:space="preserve">N012</w:t>
            </w:r>
          </w:p>
        </w:tc>
        <w:tc>
          <w:tcPr/>
          <w:p>
            <w:pPr>
              <w:pStyle w:val="Compact"/>
              <w:jc w:val="left"/>
            </w:pPr>
            <w:r>
              <w:t xml:space="preserve">Circular Externa 005 Capítulo seis</w:t>
            </w:r>
          </w:p>
        </w:tc>
        <w:tc>
          <w:tcPr/>
          <w:p>
            <w:pPr>
              <w:pStyle w:val="Compact"/>
              <w:jc w:val="left"/>
            </w:pPr>
            <w:r>
              <w:t xml:space="preserve">2019</w:t>
            </w:r>
          </w:p>
        </w:tc>
        <w:tc>
          <w:tcPr/>
          <w:p>
            <w:pPr>
              <w:pStyle w:val="Compact"/>
              <w:jc w:val="left"/>
            </w:pPr>
            <w:r>
              <w:t xml:space="preserve">“</w:t>
            </w:r>
            <w:r>
              <w:t xml:space="preserve">Reglas relativas al uso de servicios de computación en la nube</w:t>
            </w:r>
            <w:r>
              <w:t xml:space="preserve">”</w:t>
            </w:r>
          </w:p>
        </w:tc>
      </w:tr>
    </w:tbl>
    <w:p>
      <w:r>
        <w:pict>
          <v:rect style="width:0;height:1.5pt" o:hralign="center" o:hrstd="t" o:hr="t"/>
        </w:pict>
      </w:r>
    </w:p>
    <w:bookmarkEnd w:id="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2023-01-26T18:51:01Z</dcterms:created>
  <dcterms:modified xsi:type="dcterms:W3CDTF">2023-01-26T18:51:01Z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