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4.png" ContentType="image/png"/>
  <Override PartName="/word/media/rId34.png" ContentType="image/png"/>
  <Override PartName="/word/media/rId23.png" ContentType="image/png"/>
  <Override PartName="/word/media/rId3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401"/>
        <w:gridCol w:w="7518"/>
      </w:tblGrid>
      <w:tr>
        <w:trPr>
          <w:tblHeader w:val="true"/>
        </w:trPr>
        <w:tc>
          <w:tcPr/>
          <w:p>
            <w:pPr>
              <w:pStyle w:val="Compact"/>
              <w:jc w:val="left"/>
            </w:pPr>
            <w:r>
              <w:t xml:space="preserve">Tema</w:t>
            </w:r>
          </w:p>
        </w:tc>
        <w:tc>
          <w:tcPr/>
          <w:p>
            <w:pPr>
              <w:pStyle w:val="Compact"/>
              <w:jc w:val="left"/>
            </w:pPr>
            <w:r>
              <w:t xml:space="preserve">Diagnóstico SOA FNA:</w:t>
            </w:r>
            <w:r>
              <w:t xml:space="preserve"> </w:t>
            </w:r>
            <w:r>
              <w:rPr>
                <w:bCs/>
                <w:b/>
              </w:rPr>
              <w:t xml:space="preserve">Conclusiones Relevantes de Fase 1</w:t>
            </w:r>
          </w:p>
        </w:tc>
      </w:tr>
      <w:tr>
        <w:tc>
          <w:tcPr/>
          <w:p>
            <w:pPr>
              <w:pStyle w:val="Compact"/>
              <w:jc w:val="left"/>
            </w:pPr>
            <w:r>
              <w:t xml:space="preserve">Palabras clave</w:t>
            </w:r>
          </w:p>
        </w:tc>
        <w:tc>
          <w:tcPr/>
          <w:p>
            <w:pPr>
              <w:pStyle w:val="Compact"/>
              <w:jc w:val="left"/>
            </w:pPr>
            <w:r>
              <w:t xml:space="preserve">SOA, Conclusiones, Problemas,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5f8381f del 19 Oct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r>
        <w:tc>
          <w:tcPr/>
          <w:p>
            <w:pPr>
              <w:pStyle w:val="Compact"/>
            </w:pPr>
          </w:p>
        </w:tc>
        <w:tc>
          <w:tcPr/>
          <w:p>
            <w:pPr>
              <w:pStyle w:val="Compact"/>
            </w:pPr>
          </w:p>
        </w:tc>
      </w:tr>
    </w:tbl>
    <w:p>
      <w:pPr>
        <w:pStyle w:val="Textoindependiente"/>
      </w:pPr>
    </w:p>
    <w:bookmarkStart w:id="52" w:name="X0d3e4703b7a431296101dfd2ed87ae283a6c75d"/>
    <w:p>
      <w:pPr>
        <w:pStyle w:val="Ttulo1"/>
      </w:pPr>
      <w:r>
        <w:t xml:space="preserve">Tabla de Conclusiones Relevantes del Diagnóstico SOA FNA</w:t>
      </w:r>
    </w:p>
    <w:bookmarkStart w:id="22" w:name="fase-1-situación-actual"/>
    <w:p>
      <w:pPr>
        <w:pStyle w:val="Ttulo2"/>
      </w:pPr>
      <w:r>
        <w:t xml:space="preserve">Fase 1, Situación Actual</w:t>
      </w:r>
    </w:p>
    <w:tbl>
      <w:tblPr>
        <w:tblStyle w:val="Table"/>
        <w:tblW w:type="pct" w:w="5000"/>
        <w:tblLook w:firstRow="1" w:lastRow="0" w:firstColumn="0" w:lastColumn="0" w:noHBand="0" w:noVBand="0" w:val="0020"/>
      </w:tblPr>
      <w:tblGrid>
        <w:gridCol w:w="1192"/>
        <w:gridCol w:w="6727"/>
      </w:tblGrid>
      <w:tr>
        <w:trPr>
          <w:tblHeader w:val="true"/>
        </w:trPr>
        <w:tc>
          <w:tcPr/>
          <w:p>
            <w:pPr>
              <w:pStyle w:val="Compact"/>
              <w:jc w:val="left"/>
            </w:pPr>
            <w:r>
              <w:t xml:space="preserve">Ámbito</w:t>
            </w:r>
          </w:p>
        </w:tc>
        <w:tc>
          <w:tcPr/>
          <w:p>
            <w:pPr>
              <w:pStyle w:val="Compact"/>
              <w:jc w:val="left"/>
            </w:pPr>
            <w:r>
              <w:t xml:space="preserve">Conclusiones</w:t>
            </w:r>
          </w:p>
        </w:tc>
      </w:tr>
      <w:tr>
        <w:tc>
          <w:tcPr/>
          <w:p>
            <w:pPr>
              <w:pStyle w:val="Compact"/>
              <w:jc w:val="left"/>
            </w:pPr>
            <w:r>
              <w:t xml:space="preserve">Alineación</w:t>
            </w:r>
          </w:p>
        </w:tc>
        <w:tc>
          <w:tcPr/>
          <w:p>
            <w:pPr>
              <w:pStyle w:val="Compact"/>
              <w:jc w:val="left"/>
            </w:pPr>
            <w:r>
              <w:t xml:space="preserve">- Alineación Mediante Relación Capacidades-Servicios SOA</w:t>
            </w:r>
            <w:r>
              <w:t xml:space="preserve">- Alineación Mediante Clasificación del Portafolio de Servicios SOA del FNA</w:t>
            </w:r>
          </w:p>
        </w:tc>
      </w:tr>
      <w:tr>
        <w:tc>
          <w:tcPr/>
          <w:p>
            <w:pPr>
              <w:pStyle w:val="Compact"/>
              <w:jc w:val="left"/>
            </w:pPr>
            <w:r>
              <w:t xml:space="preserve">Tecnología</w:t>
            </w:r>
          </w:p>
        </w:tc>
        <w:tc>
          <w:tcPr/>
          <w:p>
            <w:pPr>
              <w:pStyle w:val="Compact"/>
              <w:jc w:val="left"/>
            </w:pPr>
            <w:r>
              <w:t xml:space="preserve">- Análisis de Huella y Dependencia Tecnológica SOA del FNA</w:t>
            </w:r>
          </w:p>
        </w:tc>
      </w:tr>
      <w:tr>
        <w:tc>
          <w:tcPr/>
          <w:p>
            <w:pPr>
              <w:pStyle w:val="Compact"/>
              <w:jc w:val="left"/>
            </w:pPr>
            <w:r>
              <w:t xml:space="preserve">SOA</w:t>
            </w:r>
          </w:p>
        </w:tc>
        <w:tc>
          <w:tcPr/>
          <w:p>
            <w:pPr>
              <w:pStyle w:val="Compact"/>
              <w:jc w:val="left"/>
            </w:pPr>
            <w:r>
              <w:t xml:space="preserve">- Análisis de las Fortalezas SOA del FNA</w:t>
            </w:r>
            <w:r>
              <w:t xml:space="preserve">- Interdependencias del Portafolio FNA</w:t>
            </w:r>
          </w:p>
        </w:tc>
      </w:tr>
      <w:tr>
        <w:tc>
          <w:tcPr/>
          <w:p>
            <w:pPr>
              <w:pStyle w:val="Compact"/>
              <w:jc w:val="left"/>
            </w:pPr>
            <w:r>
              <w:t xml:space="preserve">Oportunidad</w:t>
            </w:r>
          </w:p>
        </w:tc>
        <w:tc>
          <w:tcPr/>
          <w:p>
            <w:pPr>
              <w:pStyle w:val="Compact"/>
              <w:jc w:val="left"/>
            </w:pPr>
            <w:r>
              <w:t xml:space="preserve">- Desarrollo de Servicios FNA Guiada por la Arquitectura de Referencia</w:t>
            </w:r>
            <w:r>
              <w:t xml:space="preserve">- Mayor Utilización de la Tecnología SOA del FNA</w:t>
            </w:r>
            <w:r>
              <w:t xml:space="preserve">- Gestión de la Tecnología (gobierno) por Medio de Arquitectura</w:t>
            </w:r>
          </w:p>
        </w:tc>
      </w:tr>
      <w:tr>
        <w:tc>
          <w:tcPr/>
          <w:p>
            <w:pPr>
              <w:pStyle w:val="Compact"/>
              <w:jc w:val="left"/>
            </w:pPr>
            <w:r>
              <w:t xml:space="preserve">Arquitectura</w:t>
            </w:r>
          </w:p>
        </w:tc>
        <w:tc>
          <w:tcPr/>
          <w:p>
            <w:pPr>
              <w:pStyle w:val="Compact"/>
              <w:jc w:val="left"/>
            </w:pPr>
            <w:r>
              <w:t xml:space="preserve">- Articulación y fortalecimiento del equipo de arquitectura del FNA junto al de los proveedores</w:t>
            </w:r>
          </w:p>
        </w:tc>
      </w:tr>
      <w:tr>
        <w:tc>
          <w:tcPr/>
          <w:p>
            <w:pPr>
              <w:pStyle w:val="Compact"/>
              <w:jc w:val="left"/>
            </w:pPr>
            <w:r>
              <w:t xml:space="preserve">Madurez</w:t>
            </w:r>
          </w:p>
        </w:tc>
        <w:tc>
          <w:tcPr/>
          <w:p>
            <w:pPr>
              <w:pStyle w:val="Compact"/>
              <w:jc w:val="left"/>
            </w:pPr>
            <w:r>
              <w:t xml:space="preserve">- El resultado del nivel de cumplimiento del dominio de información del FNA es (nivel 2, OSIMM),</w:t>
            </w:r>
            <w:r>
              <w:t xml:space="preserve"> </w:t>
            </w:r>
            <w:r>
              <w:rPr>
                <w:iCs/>
                <w:i/>
              </w:rPr>
              <w:t xml:space="preserve">Realizado</w:t>
            </w:r>
          </w:p>
        </w:tc>
      </w:tr>
      <w:tr>
        <w:tc>
          <w:tcPr/>
          <w:p>
            <w:pPr>
              <w:pStyle w:val="Compact"/>
              <w:jc w:val="left"/>
            </w:pPr>
            <w:r>
              <w:t xml:space="preserve">————–</w:t>
            </w:r>
          </w:p>
        </w:tc>
        <w:tc>
          <w:tcPr/>
          <w:p>
            <w:pPr>
              <w:pStyle w:val="Compact"/>
              <w:jc w:val="left"/>
            </w:pPr>
            <w:r>
              <w:t xml:space="preserve">——————————————————————————-</w:t>
            </w:r>
          </w:p>
        </w:tc>
      </w:tr>
    </w:tbl>
    <w:p>
      <w:pPr>
        <w:pStyle w:val="Textoindependiente"/>
      </w:pPr>
    </w:p>
    <w:bookmarkEnd w:id="22"/>
    <w:bookmarkStart w:id="27" w:name="Xe5b54ca74f4b46d71825abc3b5b5c8c8b2687e8"/>
    <w:p>
      <w:pPr>
        <w:pStyle w:val="Ttulo2"/>
      </w:pPr>
      <w:r>
        <w:t xml:space="preserve">1. Alineación Mediante la Relación Capacidades-Servicios SOA</w:t>
      </w:r>
    </w:p>
    <w:p>
      <w:pPr>
        <w:pStyle w:val="FirstParagraph"/>
      </w:pPr>
      <w:r>
        <w:t xml:space="preserve">Para conseguir la alineación definitiva de negocio del FNA, de las áreas seleccionadas por este ejercicio, y de los requerimientos funcionales y de mejora con los servicios SOA</w:t>
      </w:r>
      <w:r>
        <w:t xml:space="preserve"> </w:t>
      </w:r>
      <w:r>
        <w:rPr>
          <w:iCs/>
          <w:i/>
        </w:rPr>
        <w:t xml:space="preserve">es imperativo desarrollar el modelo de capacidades de negocio del FNA</w:t>
      </w:r>
      <w:r>
        <w:t xml:space="preserve">. Desarrollar formalmente el modelo de capacidades, y profundizar en sus relaciones con las demás partes de la empresa, que incluye a los servicios SOA, hace posible el enfocar los esfuerzos, los análisis, asignar recursos y aplicar controles exclusivos en aquellas partes más cercanas a estas capacidades, y que por ende son las tienden a liberan el mayor valor e impacto positivo para el Fondo. Lo contrario a esto sería desarrollar todo basado en la percepción: desarrollar todo lo que sea percibido en su momento como importante, y después cambiar de objetivo cuando surja uno que tenga mejor percepción.</w:t>
      </w:r>
    </w:p>
    <w:p>
      <w:pPr>
        <w:pStyle w:val="Figure"/>
      </w:pPr>
      <w:r>
        <w:drawing>
          <wp:inline>
            <wp:extent cx="5600700" cy="1808407"/>
            <wp:effectExtent b="0" l="0" r="0" t="0"/>
            <wp:docPr descr="" title="" id="24" name="Picture"/>
            <a:graphic>
              <a:graphicData uri="http://schemas.openxmlformats.org/drawingml/2006/picture">
                <pic:pic>
                  <pic:nvPicPr>
                    <pic:cNvPr descr="images/conclusiones-2.png" id="25" name="Picture"/>
                    <pic:cNvPicPr>
                      <a:picLocks noChangeArrowheads="1" noChangeAspect="1"/>
                    </pic:cNvPicPr>
                  </pic:nvPicPr>
                  <pic:blipFill>
                    <a:blip r:embed="rId23"/>
                    <a:stretch>
                      <a:fillRect/>
                    </a:stretch>
                  </pic:blipFill>
                  <pic:spPr bwMode="auto">
                    <a:xfrm>
                      <a:off x="0" y="0"/>
                      <a:ext cx="5600700" cy="1808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Desarrollo y profundización de las capacidades del FNA propuestas. Existen pocas las relaciones entre las capacidades de negocio y los servicios SOA del Fondo.</w:t>
      </w:r>
    </w:p>
    <w:p>
      <w:pPr>
        <w:pStyle w:val="Textoindependiente"/>
      </w:pPr>
    </w:p>
    <w:bookmarkEnd w:id="27"/>
    <w:bookmarkStart w:id="28" w:name="X24e0dd027386869384f2fded39ca9f7a572213d"/>
    <w:p>
      <w:pPr>
        <w:pStyle w:val="Ttulo2"/>
      </w:pPr>
      <w:r>
        <w:t xml:space="preserve">2. Alineación Mediante Clasificación del Portafolio de Servicios SOA del FNA</w:t>
      </w:r>
    </w:p>
    <w:p>
      <w:pPr>
        <w:pStyle w:val="FirstParagraph"/>
      </w:pPr>
      <w:r>
        <w:t xml:space="preserve">El otro indicio de alineación SOA con el negocio viene esta vez de mano del portafolio de servicios del Fondo.</w:t>
      </w:r>
      <w:r>
        <w:t xml:space="preserve"> </w:t>
      </w:r>
      <w:r>
        <w:rPr>
          <w:iCs/>
          <w:i/>
        </w:rPr>
        <w:t xml:space="preserve">Viendo la tabla de la distribución actual de los servicios del portafolio sobresale que se encuentra inclinada hacia los servicios de información</w:t>
      </w:r>
      <w:r>
        <w:t xml:space="preserve">. Esto puede significar que las necesidades de negocio de las vicepresidencias de Crédito y de Operaciones están siendo satisfechas en mayor grado por este tipo de servicios, que con servicios de negocio o de proceso.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Tipo Servicio</w:t>
            </w:r>
          </w:p>
        </w:tc>
        <w:tc>
          <w:tcPr/>
          <w:p>
            <w:pPr>
              <w:pStyle w:val="Compact"/>
              <w:jc w:val="center"/>
            </w:pPr>
            <w:r>
              <w:rPr>
                <w:bCs/>
                <w:b/>
              </w:rPr>
              <w:t xml:space="preserve">Cantidad</w:t>
            </w:r>
          </w:p>
        </w:tc>
      </w:tr>
      <w:tr>
        <w:tc>
          <w:tcPr/>
          <w:p>
            <w:pPr>
              <w:pStyle w:val="Compact"/>
              <w:jc w:val="left"/>
            </w:pPr>
            <w:r>
              <w:t xml:space="preserve">Servicio Información</w:t>
            </w:r>
          </w:p>
        </w:tc>
        <w:tc>
          <w:tcPr/>
          <w:p>
            <w:pPr>
              <w:pStyle w:val="Compact"/>
              <w:jc w:val="center"/>
            </w:pPr>
            <w:r>
              <w:rPr>
                <w:bCs/>
                <w:b/>
              </w:rPr>
              <w:t xml:space="preserve">55</w:t>
            </w:r>
          </w:p>
        </w:tc>
      </w:tr>
      <w:tr>
        <w:tc>
          <w:tcPr/>
          <w:p>
            <w:pPr>
              <w:pStyle w:val="Compact"/>
              <w:jc w:val="left"/>
            </w:pPr>
            <w:r>
              <w:t xml:space="preserve">Servicio Proceso</w:t>
            </w:r>
          </w:p>
        </w:tc>
        <w:tc>
          <w:tcPr/>
          <w:p>
            <w:pPr>
              <w:pStyle w:val="Compact"/>
              <w:jc w:val="center"/>
            </w:pPr>
            <w:r>
              <w:t xml:space="preserve">18</w:t>
            </w:r>
          </w:p>
        </w:tc>
      </w:tr>
      <w:tr>
        <w:tc>
          <w:tcPr/>
          <w:p>
            <w:pPr>
              <w:pStyle w:val="Compact"/>
              <w:jc w:val="left"/>
            </w:pPr>
            <w:r>
              <w:t xml:space="preserve">Servicio Negocio</w:t>
            </w:r>
          </w:p>
        </w:tc>
        <w:tc>
          <w:tcPr/>
          <w:p>
            <w:pPr>
              <w:pStyle w:val="Compact"/>
              <w:jc w:val="center"/>
            </w:pPr>
            <w:r>
              <w:t xml:space="preserve">14</w:t>
            </w:r>
          </w:p>
        </w:tc>
      </w:tr>
      <w:tr>
        <w:tc>
          <w:tcPr/>
          <w:p>
            <w:pPr>
              <w:pStyle w:val="Compact"/>
              <w:jc w:val="left"/>
            </w:pPr>
            <w:r>
              <w:rPr>
                <w:bCs/>
                <w:b/>
              </w:rPr>
              <w:t xml:space="preserve">Total general</w:t>
            </w:r>
          </w:p>
        </w:tc>
        <w:tc>
          <w:tcPr/>
          <w:p>
            <w:pPr>
              <w:pStyle w:val="Compact"/>
              <w:jc w:val="center"/>
            </w:pPr>
            <w:r>
              <w:rPr>
                <w:bCs/>
                <w:b/>
              </w:rPr>
              <w:t xml:space="preserve">87</w:t>
            </w:r>
          </w:p>
        </w:tc>
      </w:tr>
    </w:tbl>
    <w:p>
      <w:pPr>
        <w:pStyle w:val="Textoindependiente"/>
      </w:pPr>
      <w:hyperlink r:id="rId26">
        <w:r>
          <w:rPr>
            <w:rStyle w:val="Hipervnculo"/>
          </w:rPr>
          <w:t xml:space="preserve">Tabla.</w:t>
        </w:r>
      </w:hyperlink>
      <w:r>
        <w:t xml:space="preserve"> </w:t>
      </w:r>
      <w:r>
        <w:t xml:space="preserve">Catalogación de los tipos de servicios SOA del FNA.</w:t>
      </w:r>
    </w:p>
    <w:p>
      <w:pPr>
        <w:pStyle w:val="Textoindependiente"/>
      </w:pPr>
    </w:p>
    <w:bookmarkEnd w:id="28"/>
    <w:bookmarkStart w:id="29" w:name="X04c650da76810a9c7ab9784516c2fd54734da5e"/>
    <w:p>
      <w:pPr>
        <w:pStyle w:val="Ttulo2"/>
      </w:pPr>
      <w:r>
        <w:t xml:space="preserve">3. Análisis de Huella y Dependencia Tecnologica SOA del FNA No. 1</w:t>
      </w:r>
    </w:p>
    <w:p>
      <w:pPr>
        <w:pStyle w:val="FirstParagraph"/>
      </w:pPr>
      <w:r>
        <w:t xml:space="preserve">El problema real de la dependencia del proveedor de ERP Cobis es que este influye en ámbitos que se extienden a la tecnología del FNA, e incide en que las tecnologías seleccionadas sean las que lo favorecen primero al ERP, y no tanto a la arquitectura SOA del Fondo, que es la que procura objetivos más afines a la empresa, como la flexibilidad y otras fortalezas.</w:t>
      </w:r>
    </w:p>
    <w:p>
      <w:pPr>
        <w:pStyle w:val="Textoindependiente"/>
      </w:pPr>
      <w:r>
        <w:t xml:space="preserve">El hecho de que no haya evidencias de que las capacidades tecnológicas para el monitoreo SOA y para la gestión de un registro empresarial de servicios del FNA esté encendidas, dificulta la implementación de beneficios de SOA, como la reutilización y la composición de servicios. Por el contrario, esto propicia la redundancia de las capacidades de la arquitectura SOA.</w:t>
      </w:r>
    </w:p>
    <w:p>
      <w:pPr>
        <w:pStyle w:val="Textoindependiente"/>
      </w:pPr>
    </w:p>
    <w:bookmarkEnd w:id="29"/>
    <w:bookmarkStart w:id="33" w:name="X950033d967ba53daae26da9b93de87cadb5c70c"/>
    <w:p>
      <w:pPr>
        <w:pStyle w:val="Ttulo2"/>
      </w:pPr>
      <w:r>
        <w:t xml:space="preserve">4. Análisis de Huella y Dependencia Tecnológica SOA del FNA No. 2</w:t>
      </w:r>
    </w:p>
    <w:p>
      <w:pPr>
        <w:pStyle w:val="FirstParagraph"/>
      </w:pPr>
      <w:r>
        <w:t xml:space="preserve">La dependencia de proveedor también se evidencia en el nivel de infraestructura con el fabricante IBM.</w:t>
      </w:r>
    </w:p>
    <w:p>
      <w:pPr>
        <w:pStyle w:val="Figure"/>
      </w:pPr>
      <w:r>
        <w:drawing>
          <wp:inline>
            <wp:extent cx="5600700" cy="2917287"/>
            <wp:effectExtent b="0" l="0" r="0" t="0"/>
            <wp:docPr descr="" title="" id="31" name="Picture"/>
            <a:graphic>
              <a:graphicData uri="http://schemas.openxmlformats.org/drawingml/2006/picture">
                <pic:pic>
                  <pic:nvPicPr>
                    <pic:cNvPr descr="images/conclusiones-5.png" id="32" name="Picture"/>
                    <pic:cNvPicPr>
                      <a:picLocks noChangeArrowheads="1" noChangeAspect="1"/>
                    </pic:cNvPicPr>
                  </pic:nvPicPr>
                  <pic:blipFill>
                    <a:blip r:embed="rId30"/>
                    <a:stretch>
                      <a:fillRect/>
                    </a:stretch>
                  </pic:blipFill>
                  <pic:spPr bwMode="auto">
                    <a:xfrm>
                      <a:off x="0" y="0"/>
                      <a:ext cx="5600700" cy="291728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Catálogo de tecnologías respecto a servicios de Infraestructura​ del FNA.</w:t>
      </w:r>
    </w:p>
    <w:p>
      <w:pPr>
        <w:pStyle w:val="Textoindependiente"/>
      </w:pPr>
      <w:r>
        <w:rPr>
          <w:iCs/>
          <w:i/>
        </w:rPr>
        <w:t xml:space="preserve">Fuente: Composición de datos basado en arquitectura fna.archimate</w:t>
      </w:r>
    </w:p>
    <w:p>
      <w:pPr>
        <w:pStyle w:val="Textoindependiente"/>
      </w:pPr>
    </w:p>
    <w:p>
      <w:pPr>
        <w:pStyle w:val="Textoindependiente"/>
      </w:pPr>
      <w:r>
        <w:t xml:space="preserve">La infraestructura actual ha sido influenciada por los productos del fabricante IBM, tanto a nivel de plataformas como de tecnologías y soluciones. Esto implica riesgos de esfuerzos altos en el caso de portar de tecnología, actualizar, o sustituir los entornos de ejecución, sistema operativo o arquitectura de procesador.</w:t>
      </w:r>
    </w:p>
    <w:p>
      <w:pPr>
        <w:pStyle w:val="Textoindependiente"/>
      </w:pPr>
      <w:r>
        <w:t xml:space="preserve">Es importante asignarle al</w:t>
      </w:r>
      <w:r>
        <w:t xml:space="preserve"> </w:t>
      </w:r>
      <w:r>
        <w:t xml:space="preserve">‘</w:t>
      </w:r>
      <w:r>
        <w:t xml:space="preserve">CAPE</w:t>
      </w:r>
      <w:r>
        <w:t xml:space="preserve">’</w:t>
      </w:r>
      <w:r>
        <w:t xml:space="preserve"> </w:t>
      </w:r>
      <w:r>
        <w:t xml:space="preserve">un lugar dentro de la documentación de arquitectura, ya que actualmente es un elemento</w:t>
      </w:r>
      <w:r>
        <w:t xml:space="preserve"> </w:t>
      </w:r>
      <w:r>
        <w:t xml:space="preserve">“</w:t>
      </w:r>
      <w:r>
        <w:t xml:space="preserve">transparente</w:t>
      </w:r>
      <w:r>
        <w:t xml:space="preserve">”</w:t>
      </w:r>
      <w:r>
        <w:t xml:space="preserve"> </w:t>
      </w:r>
      <w:r>
        <w:t xml:space="preserve">para la operación de la solución actual; sin embargo, cuando se pretenda implementar arquitecturas nuevas puede limitar el tipo de tecnologías o proveedores que se puedan elegir.</w:t>
      </w:r>
    </w:p>
    <w:p>
      <w:pPr>
        <w:pStyle w:val="Textoindependiente"/>
      </w:pPr>
    </w:p>
    <w:bookmarkEnd w:id="33"/>
    <w:bookmarkStart w:id="40" w:name="análisis-de-gobierno-soa-del-fna"/>
    <w:p>
      <w:pPr>
        <w:pStyle w:val="Ttulo2"/>
      </w:pPr>
      <w:r>
        <w:t xml:space="preserve">5. Análisis de Gobierno SOA del FNA</w:t>
      </w:r>
    </w:p>
    <w:p>
      <w:pPr>
        <w:pStyle w:val="FirstParagraph"/>
      </w:pPr>
      <w:r>
        <w:t xml:space="preserve">A continuación identificaremos los riesgos que ameritan reforzar el gobierno SOA del Fondo.</w:t>
      </w:r>
    </w:p>
    <w:bookmarkStart w:id="37" w:name="X94d26dee9db28ef7a5d3dadaa2a734a6bdd06b0"/>
    <w:p>
      <w:pPr>
        <w:pStyle w:val="Ttulo3"/>
      </w:pPr>
      <w:r>
        <w:t xml:space="preserve">Riesgo de Inefectividad Tecnológica (versus beneficios SOA)</w:t>
      </w:r>
    </w:p>
    <w:p>
      <w:pPr>
        <w:pStyle w:val="FirstParagraph"/>
      </w:pPr>
      <w:r>
        <w:t xml:space="preserve">Parte importante de la tecnología del Fondo está reflejada en sus aplicaciones y plataforma de software (ver imagen siguiente). Las aplicaciones de proveedor, entre los que se encuentran Transunion, Solusoft, Isolution, y por supuesto, el ERP Cobis, tienen la mayor presencia en el listado de tecnologías, seguido esta de los productos de grandes fabricantes como el bus de IBM, y las bases de datos de Oracle y Sybase.</w:t>
      </w:r>
    </w:p>
    <w:p>
      <w:pPr>
        <w:pStyle w:val="Figure"/>
      </w:pPr>
      <w:r>
        <w:drawing>
          <wp:inline>
            <wp:extent cx="5600700" cy="2544595"/>
            <wp:effectExtent b="0" l="0" r="0" t="0"/>
            <wp:docPr descr="" title="" id="35" name="Picture"/>
            <a:graphic>
              <a:graphicData uri="http://schemas.openxmlformats.org/drawingml/2006/picture">
                <pic:pic>
                  <pic:nvPicPr>
                    <pic:cNvPr descr="images/catalogoaplicaciones.png" id="36" name="Picture"/>
                    <pic:cNvPicPr>
                      <a:picLocks noChangeArrowheads="1" noChangeAspect="1"/>
                    </pic:cNvPicPr>
                  </pic:nvPicPr>
                  <pic:blipFill>
                    <a:blip r:embed="rId34"/>
                    <a:stretch>
                      <a:fillRect/>
                    </a:stretch>
                  </pic:blipFill>
                  <pic:spPr bwMode="auto">
                    <a:xfrm>
                      <a:off x="0" y="0"/>
                      <a:ext cx="5600700" cy="2544595"/>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Listado de tecnologías de software del FNA.</w:t>
      </w:r>
    </w:p>
    <w:p>
      <w:pPr>
        <w:pStyle w:val="Textoindependiente"/>
      </w:pPr>
      <w:r>
        <w:rPr>
          <w:iCs/>
          <w:i/>
        </w:rPr>
        <w:t xml:space="preserve">Fuente: catalogo de Aplicaciones URL.xlsx.</w:t>
      </w:r>
    </w:p>
    <w:p>
      <w:pPr>
        <w:pStyle w:val="Textoindependiente"/>
      </w:pPr>
    </w:p>
    <w:p>
      <w:pPr>
        <w:pStyle w:val="Textoindependiente"/>
      </w:pPr>
      <w:r>
        <w:t xml:space="preserve">El Process Server, componente que tiene un nivel de utilización considerable en el FNA no aparece en este corte, dado que no es una aplicación. Aún así, a este componente le aplica de igual manera este riesgo señalado.</w:t>
      </w:r>
    </w:p>
    <w:bookmarkEnd w:id="37"/>
    <w:bookmarkStart w:id="39" w:name="X7d4a0a0f8d958bd09e087c129f3708ecbf6ef67"/>
    <w:p>
      <w:pPr>
        <w:pStyle w:val="Ttulo3"/>
      </w:pPr>
      <w:r>
        <w:t xml:space="preserve">Riesgo de Vigilancia de Soluciones SOA (versus beneficios SOA)</w:t>
      </w:r>
    </w:p>
    <w:p>
      <w:pPr>
        <w:pStyle w:val="FirstParagraph"/>
      </w:pPr>
      <w:r>
        <w:t xml:space="preserve">Con base en el análisis de alineación SOA (ver</w:t>
      </w:r>
      <w:r>
        <w:t xml:space="preserve"> </w:t>
      </w:r>
      <w:hyperlink r:id="rId38">
        <w:r>
          <w:rPr>
            <w:rStyle w:val="Hipervnculo"/>
          </w:rPr>
          <w:t xml:space="preserve">Resultado Diagnóstico Situación Actual-1</w:t>
        </w:r>
      </w:hyperlink>
      <w:r>
        <w:t xml:space="preserve">, que muestra que el enfoque predominante no es el descendente, si no que,</w:t>
      </w:r>
      <w:r>
        <w:t xml:space="preserve"> </w:t>
      </w:r>
      <w:r>
        <w:rPr>
          <w:iCs/>
          <w:i/>
        </w:rPr>
        <w:t xml:space="preserve">la implementación de los servicios del portafolio del FNA provienen más de las aplicaciones de los proveedores que desde las vicepresidencia de Crédito o de la de Operaciones</w:t>
      </w:r>
      <w:r>
        <w:t xml:space="preserve">, existe el riesgo (y la oportinidad de reforzar el gobierno SOA) de que las soluciones no sean las que el equipo de arquitectura, TI, o el que haga las veces de gestor de las tecnologías en el Fondo, pueda reforzar la arquitectura de referencia SOA del Fondo.</w:t>
      </w:r>
    </w:p>
    <w:p>
      <w:pPr>
        <w:pStyle w:val="Textoindependiente"/>
      </w:pPr>
    </w:p>
    <w:bookmarkEnd w:id="39"/>
    <w:bookmarkEnd w:id="40"/>
    <w:bookmarkStart w:id="50" w:name="análisis-de-las-fortalezas-soa-del-fna"/>
    <w:p>
      <w:pPr>
        <w:pStyle w:val="Ttulo2"/>
      </w:pPr>
      <w:r>
        <w:t xml:space="preserve">6. 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bookmarkStart w:id="43" w:name="X73717db681a653da4f462aa5849ca7a7ffe3653"/>
    <w:p>
      <w:pPr>
        <w:pStyle w:val="Ttulo3"/>
      </w:pPr>
      <w:r>
        <w:t xml:space="preserve">Acoplamiento de las capacidades de negocio del FNA a Cobis</w:t>
      </w:r>
    </w:p>
    <w:p>
      <w:pPr>
        <w:pStyle w:val="FirstParagraph"/>
      </w:pPr>
      <w:r>
        <w:rPr>
          <w:iCs/>
          <w:i/>
        </w:rPr>
        <w:t xml:space="preserve">Existen más de 96 relaciones</w:t>
      </w:r>
      <w:r>
        <w:t xml:space="preserve"> </w:t>
      </w:r>
      <w:r>
        <w:t xml:space="preserve">entre las capacidades de negocio y las herramientas de software de Cobis (ver</w:t>
      </w:r>
      <w:r>
        <w:t xml:space="preserve"> </w:t>
      </w:r>
      <w:hyperlink r:id="rId41">
        <w:r>
          <w:rPr>
            <w:rStyle w:val="Hipervnculo"/>
          </w:rPr>
          <w:t xml:space="preserve">N003e. Catálogo de Servicios FNA-1</w:t>
        </w:r>
      </w:hyperlink>
      <w:r>
        <w:t xml:space="preserve">, y</w:t>
      </w:r>
      <w:r>
        <w:t xml:space="preserve"> </w:t>
      </w:r>
      <w:hyperlink r:id="rId42">
        <w:r>
          <w:rPr>
            <w:rStyle w:val="Hipervnculo"/>
          </w:rPr>
          <w:t xml:space="preserve">N003e. Catálogo de Servicios FNA-2</w:t>
        </w:r>
      </w:hyperlink>
      <w:r>
        <w:t xml:space="preserve">).</w:t>
      </w:r>
    </w:p>
    <w:p>
      <w:pPr>
        <w:pStyle w:val="SourceCode"/>
      </w:pPr>
      <w:r>
        <w:rPr>
          <w:rStyle w:val="VerbatimChar"/>
        </w:rPr>
        <w:t xml:space="preserve">Todo acoplamiento, que en este caso es con el proveedor, produce rigidez. Esta  rigidez es causa de una problemática que afecta, en primer grado a la flexibilidad de negocio, y segundo, al tiempo de mercado.</w:t>
      </w:r>
    </w:p>
    <w:bookmarkEnd w:id="43"/>
    <w:bookmarkStart w:id="47" w:name="X71e817246a373d8445f98b7a31a2fc11dca2790"/>
    <w:p>
      <w:pPr>
        <w:pStyle w:val="Ttulo3"/>
      </w:pPr>
      <w:r>
        <w:t xml:space="preserve">Relación de dependencia de las aplicaciones proveedoras</w:t>
      </w:r>
    </w:p>
    <w:p>
      <w:pPr>
        <w:pStyle w:val="FirstParagraph"/>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42">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pStyle w:val="SourceCode"/>
      </w:pPr>
      <w:r>
        <w:rPr>
          <w:rStyle w:val="VerbatimChar"/>
        </w:rP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45" name="Picture"/>
            <a:graphic>
              <a:graphicData uri="http://schemas.openxmlformats.org/drawingml/2006/picture">
                <pic:pic>
                  <pic:nvPicPr>
                    <pic:cNvPr descr="images/VistaPortafolio-CatalogoServiciosFNA.1.png" id="46" name="Picture"/>
                    <pic:cNvPicPr>
                      <a:picLocks noChangeArrowheads="1" noChangeAspect="1"/>
                    </pic:cNvPicPr>
                  </pic:nvPicPr>
                  <pic:blipFill>
                    <a:blip r:embed="rId4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47"/>
    <w:bookmarkStart w:id="49" w:name="Xf1af623fcda81e916f35756f0c9184cbfc0ec4f"/>
    <w:p>
      <w:pPr>
        <w:pStyle w:val="Ttulo3"/>
      </w:pPr>
      <w:r>
        <w:t xml:space="preserve">Débil relación con requerimientos de negocio (VP de Crédito y Operaciones)</w:t>
      </w:r>
    </w:p>
    <w:p>
      <w:pPr>
        <w:pStyle w:val="FirstParagraph"/>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48">
        <w:r>
          <w:rPr>
            <w:rStyle w:val="Hipervnculo"/>
          </w:rPr>
          <w:t xml:space="preserve">N003e. Catálogo de Servicios FNA-1a</w:t>
        </w:r>
      </w:hyperlink>
      <w:r>
        <w:t xml:space="preserve">).</w:t>
      </w:r>
    </w:p>
    <w:p>
      <w:pPr>
        <w:pStyle w:val="SourceCode"/>
      </w:pPr>
      <w:r>
        <w:rPr>
          <w:rStyle w:val="VerbatimChar"/>
        </w:rP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bookmarkEnd w:id="49"/>
    <w:bookmarkEnd w:id="50"/>
    <w:bookmarkStart w:id="51" w:name="X91db2523babd853b50f85e1e494c7791393d7e6"/>
    <w:p>
      <w:pPr>
        <w:pStyle w:val="Ttulo2"/>
      </w:pPr>
      <w:r>
        <w:t xml:space="preserve">7. Desarrollo de la Arquitectura de Referencia</w:t>
      </w:r>
    </w:p>
    <w:p>
      <w:pPr>
        <w:pStyle w:val="FirstParagraph"/>
      </w:pPr>
      <w:r>
        <w:t xml:space="preserve">Los modelos del FNA carecen de información de los conectores entre las capacidades de negocio del FNA. Esto impacta la manera cómo una capacidad soporta a otra, a la vez que dificulta controlar las tecnologías y estándares involucradas en tales conexiones.</w:t>
      </w:r>
    </w:p>
    <w:p>
      <w:pPr>
        <w:pStyle w:val="Textoindependiente"/>
      </w:pPr>
      <w:r>
        <w:t xml:space="preserve">No es evidenciable la relación de capacidades de negocio y los servicios SOA. Esto impacta a la gestión del portafolio de servicios, particularmente, el crecimiento de los tipos de servicios utilitarios a expensas de los de negocio y composición.</w:t>
      </w:r>
    </w:p>
    <w:bookmarkEnd w:id="51"/>
    <w:bookmarkEnd w:id="5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4" Target="media/rId44.png" /><Relationship Type="http://schemas.openxmlformats.org/officeDocument/2006/relationships/image" Id="rId34" Target="media/rId34.png" /><Relationship Type="http://schemas.openxmlformats.org/officeDocument/2006/relationships/image" Id="rId23" Target="media/rId23.png" /><Relationship Type="http://schemas.openxmlformats.org/officeDocument/2006/relationships/image" Id="rId30" Target="media/rId30.png" /><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2023-10-19T03:31:53Z</dcterms:created>
  <dcterms:modified xsi:type="dcterms:W3CDTF">2023-10-19T03:31:53Z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