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00485fc del 16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FNA-2</w:t>
              </w:r>
            </w:hyperlink>
          </w:p>
        </w:tc>
      </w:tr>
    </w:tbl>
    <w:p>
      <w:pPr>
        <w:pStyle w:val="Textoindependiente"/>
      </w:pPr>
    </w:p>
    <w:bookmarkStart w:id="24" w:name="Xe2f87aa9e18342808991ce5a91ed10aa5b13128"/>
    <w:p>
      <w:pPr>
        <w:pStyle w:val="Ttulo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Textoindependiente"/>
      </w:pPr>
      <w:r>
        <w:t xml:space="preserve">La siguiente lista muestra la cantidad de integraiones del FNA y los cuidados que hay que tener tanto en las cantidades de integraciones punto a punto:</w:t>
      </w:r>
      <w:r>
        <w:t xml:space="preserve"> </w:t>
      </w:r>
      <w:r>
        <w:rPr>
          <w:iCs/>
          <w:i/>
        </w:rPr>
        <w:t xml:space="preserve">330 integraciones</w:t>
      </w:r>
      <w:r>
        <w:t xml:space="preserve">, como con los casos de uso de integraciones no identificados:</w:t>
      </w:r>
      <w:r>
        <w:t xml:space="preserve"> </w:t>
      </w:r>
      <w:r>
        <w:rPr>
          <w:iCs/>
          <w:i/>
        </w:rPr>
        <w:t xml:space="preserve">273 integraciones sin caso</w:t>
      </w:r>
      <w:r>
        <w:t xml:space="preserve">.</w:t>
      </w:r>
    </w:p>
    <w:tbl>
      <w:tblPr>
        <w:tblStyle w:val="Table"/>
        <w:tblW w:type="pct" w:w="5000"/>
        <w:tblLook w:firstRow="1" w:lastRow="0" w:firstColumn="0" w:lastColumn="0" w:noHBand="0" w:noVBand="0" w:val="0020"/>
      </w:tblPr>
      <w:tblGrid>
        <w:gridCol w:w="4554"/>
        <w:gridCol w:w="3366"/>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Caso de Integración</w:t>
      </w:r>
    </w:p>
    <w:p>
      <w:pPr>
        <w:pStyle w:val="Textoindependiente"/>
      </w:pPr>
      <w:r>
        <w:rPr>
          <w:iCs/>
          <w:i/>
        </w:rPr>
        <w:t xml:space="preserve">Fuente: pt-inge-028-inventariointegraciones_v1.0.xlsx</w:t>
      </w:r>
    </w:p>
    <w:p>
      <w:pPr>
        <w:pStyle w:val="Textoindependiente"/>
      </w:pPr>
    </w:p>
    <w:p>
      <w:pPr>
        <w:pStyle w:val="Textoindependiente"/>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Textoindependiente"/>
      </w:pPr>
    </w:p>
    <w:bookmarkStart w:id="22" w:name="descripción-de-las-integraciones-fna"/>
    <w:p>
      <w:pPr>
        <w:pStyle w:val="Ttulo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Textoindependiente"/>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Textoindependiente"/>
      </w:pPr>
      <w:hyperlink r:id="rId21">
        <w:r>
          <w:rPr>
            <w:rStyle w:val="Hipervnculo"/>
          </w:rPr>
          <w:t xml:space="preserve">Tabla.</w:t>
        </w:r>
      </w:hyperlink>
      <w:r>
        <w:t xml:space="preserve"> </w:t>
      </w:r>
      <w:r>
        <w:t xml:space="preserve">Integraciones del FNA. Aplicaciones origen de la integración.</w:t>
      </w:r>
    </w:p>
    <w:p>
      <w:pPr>
        <w:pStyle w:val="Textoindependiente"/>
      </w:pPr>
      <w:r>
        <w:rPr>
          <w:iCs/>
          <w:i/>
        </w:rPr>
        <w:t xml:space="preserve">Fuente: pt-inge-028-inventariointegraciones_v1.0.xlsx</w:t>
      </w:r>
    </w:p>
    <w:p>
      <w:pPr>
        <w:pStyle w:val="Textoindependiente"/>
      </w:pPr>
    </w:p>
    <w:p>
      <w:pPr>
        <w:pStyle w:val="Textodebloque"/>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Textoindependiente"/>
      </w:pPr>
      <w:r>
        <w:t xml:space="preserve">El anexo 1 incluido abajo es una muestra del detalle de las integraciones salientes de estas aplicaciones.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Aplicaciones destino de la integración.</w:t>
      </w:r>
    </w:p>
    <w:p>
      <w:pPr>
        <w:pStyle w:val="Textoindependiente"/>
      </w:pPr>
      <w:r>
        <w:rPr>
          <w:iCs/>
          <w:i/>
        </w:rPr>
        <w:t xml:space="preserve">Fuente: pt-inge-028-inventariointegraciones_v1.0.xlsx</w:t>
      </w:r>
    </w:p>
    <w:p>
      <w:pPr>
        <w:pStyle w:val="Textoindependiente"/>
      </w:pPr>
    </w:p>
    <w:p>
      <w:pPr>
        <w:pStyle w:val="Textodebloque"/>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Textoindependiente"/>
      </w:pPr>
      <w:r>
        <w:t xml:space="preserve">El anexo 2, abajo, es una muestra del detalle de las integraciones entrantes de estas aplicaciones.</w:t>
      </w:r>
    </w:p>
    <w:p>
      <w:pPr>
        <w:pStyle w:val="Textoindependiente"/>
      </w:pPr>
    </w:p>
    <w:bookmarkEnd w:id="22"/>
    <w:bookmarkStart w:id="23" w:name="X58a9ca7ad074427dd8490df1d1634948a082c0e"/>
    <w:p>
      <w:pPr>
        <w:pStyle w:val="Ttulo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consumidora: ESB de FNA.</w:t>
      </w:r>
    </w:p>
    <w:p>
      <w:pPr>
        <w:pStyle w:val="Textoindependiente"/>
      </w:pPr>
      <w:r>
        <w:rPr>
          <w:iCs/>
          <w:i/>
        </w:rPr>
        <w:t xml:space="preserve">Fuente: Catalogo de integraciones 1.0.8.xlsx</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Textoindependiente"/>
      </w:pPr>
      <w:r>
        <w:rPr>
          <w:iCs/>
          <w:i/>
        </w:rPr>
        <w:t xml:space="preserve">Fuente: Catalogo de integraciones 1.0.8.xlsx</w:t>
      </w:r>
    </w:p>
    <w:p>
      <w:pPr>
        <w:pStyle w:val="Textoindependiente"/>
      </w:pPr>
    </w:p>
    <w:p>
      <w:pPr>
        <w:pStyle w:val="Textodebloque"/>
      </w:pPr>
      <w:r>
        <w:t xml:space="preserve">Basado en las tablas anteriores, aplicaciones consumidoras y proveedoras, las aplicacion o sistemas que deben entrar a gobierno SOA son el ESB de FNA y el módulo del ERP Cobis Clientes.</w:t>
      </w:r>
    </w:p>
    <w:p>
      <w:pPr>
        <w:pStyle w:val="FirstParagraph"/>
      </w:pPr>
    </w:p>
    <w:bookmarkEnd w:id="23"/>
    <w:bookmarkEnd w:id="24"/>
    <w:bookmarkStart w:id="27" w:name="anexos"/>
    <w:p>
      <w:pPr>
        <w:pStyle w:val="Ttulo2"/>
      </w:pPr>
      <w:r>
        <w:t xml:space="preserve">Anexos</w:t>
      </w:r>
    </w:p>
    <w:bookmarkStart w:id="25" w:name="X5650f7c502a67cdd4f57d785afa4de9b34b3ad4"/>
    <w:p>
      <w:pPr>
        <w:pStyle w:val="Ttulo3"/>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25"/>
    <w:bookmarkStart w:id="26" w:name="X03c77b46025930e7307b3ffd8b2cf157c31fb4f"/>
    <w:p>
      <w:pPr>
        <w:pStyle w:val="Ttulo3"/>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2023-01-16T19:53:22Z</dcterms:created>
  <dcterms:modified xsi:type="dcterms:W3CDTF">2023-01-16T19:53:22Z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