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rId37.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ipervnculo"/>
                </w:rPr>
                <w:t xml:space="preserve">N005a. Vista de Integración FNA-1</w:t>
              </w:r>
            </w:hyperlink>
            <w:r>
              <w:t xml:space="preserve"> </w:t>
            </w:r>
            <w:r>
              <w:t xml:space="preserve">|</w:t>
            </w:r>
            <w:r>
              <w:t xml:space="preserve"> </w:t>
            </w:r>
            <w:hyperlink r:id="rId22">
              <w:r>
                <w:rPr>
                  <w:rStyle w:val="Hipervnculo"/>
                </w:rPr>
                <w:t xml:space="preserve">Portafolio de Servicios SOA, Tipos de Servicios y Distribución de servicios SOA por Tipo</w:t>
              </w:r>
            </w:hyperlink>
          </w:p>
        </w:tc>
      </w:tr>
    </w:tbl>
    <w:p>
      <w:pPr>
        <w:pStyle w:val="Textoindependiente"/>
      </w:pPr>
    </w:p>
    <w:bookmarkStart w:id="31"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3">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4">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r>
        <w:drawing>
          <wp:inline>
            <wp:extent cx="5600700" cy="5115685"/>
            <wp:effectExtent b="0" l="0" r="0" t="0"/>
            <wp:docPr descr="" title="" id="26" name="Picture"/>
            <a:graphic>
              <a:graphicData uri="http://schemas.openxmlformats.org/drawingml/2006/picture">
                <pic:pic>
                  <pic:nvPicPr>
                    <pic:cNvPr descr="images/ArquitecturaSOA.png" id="27" name="Picture"/>
                    <pic:cNvPicPr>
                      <a:picLocks noChangeArrowheads="1" noChangeAspect="1"/>
                    </pic:cNvPicPr>
                  </pic:nvPicPr>
                  <pic:blipFill>
                    <a:blip r:embed="rId25"/>
                    <a:stretch>
                      <a:fillRect/>
                    </a:stretch>
                  </pic:blipFill>
                  <pic:spPr bwMode="auto">
                    <a:xfrm>
                      <a:off x="0" y="0"/>
                      <a:ext cx="5600700" cy="5115685"/>
                    </a:xfrm>
                    <a:prstGeom prst="rect">
                      <a:avLst/>
                    </a:prstGeom>
                    <a:noFill/>
                    <a:ln w="9525">
                      <a:noFill/>
                      <a:headEnd/>
                      <a:tailEnd/>
                    </a:ln>
                  </pic:spPr>
                </pic:pic>
              </a:graphicData>
            </a:graphic>
          </wp:inline>
        </w:drawing>
      </w:r>
    </w:p>
    <w:p>
      <w:pPr>
        <w:pStyle w:val="Textoindependiente"/>
      </w:pPr>
      <w:hyperlink r:id="rId24">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Figure"/>
      </w:pPr>
      <w:r>
        <w:drawing>
          <wp:inline>
            <wp:extent cx="5600700" cy="4468572"/>
            <wp:effectExtent b="0" l="0" r="0" t="0"/>
            <wp:docPr descr="" title="" id="29" name="Picture"/>
            <a:graphic>
              <a:graphicData uri="http://schemas.openxmlformats.org/drawingml/2006/picture">
                <pic:pic>
                  <pic:nvPicPr>
                    <pic:cNvPr descr="images/nivelMadurez.png" id="30" name="Picture"/>
                    <pic:cNvPicPr>
                      <a:picLocks noChangeArrowheads="1" noChangeAspect="1"/>
                    </pic:cNvPicPr>
                  </pic:nvPicPr>
                  <pic:blipFill>
                    <a:blip r:embed="rId28"/>
                    <a:stretch>
                      <a:fillRect/>
                    </a:stretch>
                  </pic:blipFill>
                  <pic:spPr bwMode="auto">
                    <a:xfrm>
                      <a:off x="0" y="0"/>
                      <a:ext cx="5600700" cy="4468572"/>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31"/>
    <w:bookmarkStart w:id="35"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32"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32"/>
    <w:bookmarkStart w:id="33"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33"/>
    <w:bookmarkStart w:id="34"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34"/>
    <w:bookmarkEnd w:id="35"/>
    <w:bookmarkStart w:id="40"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6">
        <w:r>
          <w:rPr>
            <w:rStyle w:val="Hipervnculo"/>
          </w:rPr>
          <w:t xml:space="preserve">Herramienta de Diagnóstico de Nivel de Madurez SOA</w:t>
        </w:r>
      </w:hyperlink>
      <w:r>
        <w:t xml:space="preserve">.</w:t>
      </w:r>
    </w:p>
    <w:p>
      <w:pPr>
        <w:pStyle w:val="Figure"/>
      </w:pPr>
      <w:r>
        <w:drawing>
          <wp:inline>
            <wp:extent cx="5600700" cy="2979319"/>
            <wp:effectExtent b="0" l="0" r="0" t="0"/>
            <wp:docPr descr="" title="" id="38" name="Picture"/>
            <a:graphic>
              <a:graphicData uri="http://schemas.openxmlformats.org/drawingml/2006/picture">
                <pic:pic>
                  <pic:nvPicPr>
                    <pic:cNvPr descr="images/herramientaSOA.png" id="39" name="Picture"/>
                    <pic:cNvPicPr>
                      <a:picLocks noChangeArrowheads="1" noChangeAspect="1"/>
                    </pic:cNvPicPr>
                  </pic:nvPicPr>
                  <pic:blipFill>
                    <a:blip r:embed="rId37"/>
                    <a:stretch>
                      <a:fillRect/>
                    </a:stretch>
                  </pic:blipFill>
                  <pic:spPr bwMode="auto">
                    <a:xfrm>
                      <a:off x="0" y="0"/>
                      <a:ext cx="5600700" cy="2979319"/>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40"/>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hyperlink" Id="rId24"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 Type="http://schemas.openxmlformats.org/officeDocument/2006/relationships/hyperlink" Id="rId23" Target="N007.%20Presentaci&#243;n%20del%20An&#225;lisis%20de%20Madurez-1.md" TargetMode="External" /><Relationship Type="http://schemas.openxmlformats.org/officeDocument/2006/relationships/hyperlink" Id="rId36"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 Type="http://schemas.openxmlformats.org/officeDocument/2006/relationships/hyperlink" Id="rId23" Target="N007.%20Presentaci&#243;n%20del%20An&#225;lisis%20de%20Madurez-1.md" TargetMode="External" /><Relationship Type="http://schemas.openxmlformats.org/officeDocument/2006/relationships/hyperlink" Id="rId36"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2023-01-12T03:41:36Z</dcterms:created>
  <dcterms:modified xsi:type="dcterms:W3CDTF">2023-01-12T03:41:36Z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