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fase-1-estado-soa-actual"/>
    <w:p>
      <w:pPr>
        <w:pStyle w:val="Ttulo1"/>
      </w:pPr>
      <w:r>
        <w:t xml:space="preserve">Fase 1: Estado SOA Actual</w:t>
      </w:r>
    </w:p>
    <w:bookmarkEnd w:id="20"/>
    <w:bookmarkStart w:id="21" w:name="contenido-de-los-productos-del-alcance"/>
    <w:p>
      <w:pPr>
        <w:pStyle w:val="Ttulo1"/>
      </w:pPr>
      <w:r>
        <w:t xml:space="preserve">Contenido de los Productos del Alcance</w:t>
      </w:r>
    </w:p>
    <w:bookmarkEnd w:id="21"/>
    <w:bookmarkStart w:id="25" w:name="producto-2-estudio-de-madurez-soa-fna"/>
    <w:p>
      <w:pPr>
        <w:pStyle w:val="Ttulo1"/>
      </w:pPr>
      <w:r>
        <w:t xml:space="preserve">Producto 2: Estudio de Madurez SOA FNA</w:t>
      </w:r>
    </w:p>
    <w:p>
      <w:pPr>
        <w:pStyle w:val="FirstParagraph"/>
      </w:pPr>
      <w:r>
        <w:t xml:space="preserve">Exponer los resultados y las consideraciones sobresalientes del estudio de madurez SOA del Fondo Nacional del Ahorro (FNA). El resultado de este estudio dará elementos de base para contribuir a la estrategia SOA y construir un modelo inicial, tanto de brechas como de gobierno SOA, que mantengan la alineación con los objetivos de la consultoría y del negocio del Fondo.</w:t>
      </w:r>
    </w:p>
    <w:bookmarkStart w:id="22" w:name="justificación"/>
    <w:p>
      <w:pPr>
        <w:pStyle w:val="Ttulo2"/>
      </w:pPr>
      <w:r>
        <w:t xml:space="preserve">Justificación</w:t>
      </w:r>
    </w:p>
    <w:p>
      <w:pPr>
        <w:pStyle w:val="FirstParagraph"/>
      </w:pPr>
      <w:r>
        <w:t xml:space="preserve">Los modelos de madurez permiten analizar y evaluar de forma objetiva y estandarizada los grados de cumplimiento de disciplinas temáticas. Para el grado concreto de SOA, el modelo propuesto, permitirá establecer de forma general, el nivel de madurez de la organización en cuanto a la institucionalización, buenas prácticas de proceso y de producto y el gobierno ;la arquitectura en el FNA.</w:t>
      </w:r>
    </w:p>
    <w:bookmarkEnd w:id="22"/>
    <w:bookmarkStart w:id="23" w:name="contenidos"/>
    <w:p>
      <w:pPr>
        <w:pStyle w:val="Ttulo2"/>
      </w:pPr>
      <w:r>
        <w:t xml:space="preserve">Contenidos</w:t>
      </w:r>
    </w:p>
    <w:p>
      <w:pPr>
        <w:numPr>
          <w:ilvl w:val="0"/>
          <w:numId w:val="1001"/>
        </w:numPr>
        <w:pStyle w:val="Compact"/>
      </w:pPr>
      <w:r>
        <w:t xml:space="preserve">Resultados y métricas del diagnóstico de madurez SOA</w:t>
      </w:r>
    </w:p>
    <w:p>
      <w:pPr>
        <w:numPr>
          <w:ilvl w:val="0"/>
          <w:numId w:val="1001"/>
        </w:numPr>
        <w:pStyle w:val="Compact"/>
      </w:pPr>
      <w:r>
        <w:t xml:space="preserve">Consideraciones y conclusiones respecto a la arquitectura estándar SOA</w:t>
      </w:r>
    </w:p>
    <w:p>
      <w:pPr>
        <w:numPr>
          <w:ilvl w:val="0"/>
          <w:numId w:val="1001"/>
        </w:numPr>
        <w:pStyle w:val="Compact"/>
      </w:pPr>
      <w:r>
        <w:t xml:space="preserve">Consideraciones y conclusiones respecto de las necesidades de integración</w:t>
      </w:r>
    </w:p>
    <w:p>
      <w:pPr>
        <w:numPr>
          <w:ilvl w:val="0"/>
          <w:numId w:val="1001"/>
        </w:numPr>
        <w:pStyle w:val="Compact"/>
      </w:pPr>
      <w:r>
        <w:t xml:space="preserve">Consideraciones y conclusiones respecto al gobierno SOA</w:t>
      </w:r>
    </w:p>
    <w:p>
      <w:pPr>
        <w:numPr>
          <w:ilvl w:val="0"/>
          <w:numId w:val="1001"/>
        </w:numPr>
        <w:pStyle w:val="Compact"/>
      </w:pPr>
      <w:r>
        <w:t xml:space="preserve">Implicaciones a otros proyectos del Fondo</w:t>
      </w:r>
    </w:p>
    <w:bookmarkEnd w:id="23"/>
    <w:bookmarkStart w:id="24" w:name="criterios-de-aceptación"/>
    <w:p>
      <w:pPr>
        <w:pStyle w:val="Ttulo2"/>
      </w:pPr>
      <w:r>
        <w:t xml:space="preserve">Criterios de Aceptación</w:t>
      </w:r>
    </w:p>
    <w:p>
      <w:pPr>
        <w:numPr>
          <w:ilvl w:val="0"/>
          <w:numId w:val="1002"/>
        </w:numPr>
        <w:pStyle w:val="Compact"/>
      </w:pPr>
      <w:r>
        <w:t xml:space="preserve">Análisis del nivel de madurez SOA del FNA teniendo en cuenta las definiciones y criterios de evaluación de propuestas por el modelo OSIMM</w:t>
      </w:r>
      <w:r>
        <w:br/>
      </w:r>
    </w:p>
    <w:p>
      <w:pPr>
        <w:numPr>
          <w:ilvl w:val="0"/>
          <w:numId w:val="1002"/>
        </w:numPr>
        <w:pStyle w:val="Compact"/>
      </w:pPr>
      <w:r>
        <w:t xml:space="preserve">Análisis de las necesidades de integración y Gobierno SOA</w:t>
      </w:r>
    </w:p>
    <w:bookmarkEnd w:id="24"/>
    <w:bookmarkEnd w:id="25"/>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2023-01-17T17:30:44Z</dcterms:created>
  <dcterms:modified xsi:type="dcterms:W3CDTF">2023-01-17T17:30:44Z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