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2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Resultados y métricas del diagnóstico de madurez SOA:</w:t>
            </w:r>
            <w:r>
              <w:t xml:space="preserve"> </w:t>
            </w:r>
            <w:r>
              <w:rPr>
                <w:bCs/>
                <w:b/>
              </w:rPr>
              <w:t xml:space="preserve">Dominio de Información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Madurez, Método, OSIMM, Dominio, Información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a05e421 del 16 Jan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N005a. Vista de Integración FNA-1</w:t>
              </w:r>
            </w:hyperlink>
            <w:r>
              <w:t xml:space="preserve"> </w:t>
            </w:r>
            <w:r>
              <w:t xml:space="preserve">|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Portafolio de Servicios SOA, Tipos de Servicios y Distribución de servicios SOA</w:t>
              </w:r>
            </w:hyperlink>
          </w:p>
        </w:tc>
      </w:tr>
    </w:tbl>
    <w:p>
      <w:pPr>
        <w:pStyle w:val="Textoindependiente"/>
      </w:pPr>
    </w:p>
    <w:bookmarkStart w:id="26" w:name="Xb9770afae8cfffcd9462aa89a952fb5c2b3e32e"/>
    <w:p>
      <w:pPr>
        <w:pStyle w:val="Ttulo2"/>
      </w:pPr>
      <w:r>
        <w:t xml:space="preserve">Resultados y métricas del diagnóstico de madurez SOA. Dominio Información</w:t>
      </w:r>
    </w:p>
    <w:p>
      <w:pPr>
        <w:pStyle w:val="FirstParagraph"/>
      </w:pPr>
      <w:r>
        <w:t xml:space="preserve">El resultado del nivel de cumplimiento del dominio de información del FNA es</w:t>
      </w:r>
      <w:r>
        <w:t xml:space="preserve"> </w:t>
      </w:r>
      <w:r>
        <w:rPr>
          <w:bCs/>
          <w:b/>
        </w:rPr>
        <w:t xml:space="preserve">Realizado</w:t>
      </w:r>
      <w:r>
        <w:t xml:space="preserve">. Este resultado proviene de las consideraciones obtenidas en las sesiones de trabajo con los encargados del dominio de datos del Fondo y los siguientes aspectos relacionados al dominio de información:</w:t>
      </w:r>
      <w:r>
        <w:t xml:space="preserve"> </w:t>
      </w:r>
      <w:r>
        <w:rPr>
          <w:iCs/>
          <w:i/>
        </w:rPr>
        <w:t xml:space="preserve">independencia del proveedor (OBJ1), fortalecimiento SOA (OBJ2) y flexibilidad, tiempo de mercado SOA (OBJ3)</w:t>
      </w:r>
      <w:r>
        <w:t xml:space="preserve">.</w:t>
      </w:r>
    </w:p>
    <w:p>
      <w:pPr>
        <w:pStyle w:val="Figure"/>
      </w:pPr>
      <w:r>
        <w:drawing>
          <wp:inline>
            <wp:extent cx="5600700" cy="2403804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madurezInfo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4038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5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Resultados y métricas del diagnóstico de madurez SOA Información.</w:t>
      </w:r>
    </w:p>
    <w:p>
      <w:pPr>
        <w:pStyle w:val="Textoindependiente"/>
      </w:pPr>
      <w:r>
        <w:rPr>
          <w:iCs/>
          <w:i/>
        </w:rPr>
        <w:t xml:space="preserve">Fuente: elaboración propia</w:t>
      </w:r>
      <w:r>
        <w:t xml:space="preserve">.</w:t>
      </w:r>
    </w:p>
    <w:p>
      <w:pPr>
        <w:pStyle w:val="Textodebloque"/>
      </w:pPr>
      <w:r>
        <w:rPr>
          <w:bCs/>
          <w:b/>
        </w:rPr>
        <w:t xml:space="preserve">Nota</w:t>
      </w:r>
      <w:r>
        <w:t xml:space="preserve">. FNA realiza soluciones a la medida para responder a las necesidades y requerimientos de información de las áreas funcionales. El peligro con esto es que hace a la gestión de los datos proclive a la proliferación de silos de datos.</w:t>
      </w:r>
    </w:p>
    <w:p>
      <w:pPr>
        <w:pStyle w:val="FirstParagraph"/>
      </w:pPr>
    </w:p>
    <w:p>
      <w:pPr>
        <w:pStyle w:val="Textoindependiente"/>
      </w:pPr>
      <w:r>
        <w:t xml:space="preserve">Teniendo en cuenta la clasificación que propone el modelo OSIMM; el cual define el estado de la organización con respecto a los servicios de integración y la madurez SOA de la organización, concluimos que actualmente el Fondo Nacional del Ahorro, en el dominio de datos,</w:t>
      </w:r>
      <w:r>
        <w:t xml:space="preserve"> </w:t>
      </w:r>
      <w:r>
        <w:rPr>
          <w:iCs/>
          <w:i/>
        </w:rPr>
        <w:t xml:space="preserve">realiza soluciones a la medida para responder a las necesidades y requerimientos de las áreas funcionales, lo cual ocasiona que la información se gestione de manera aislada por cada dependencia evidenciando silos de información</w:t>
      </w:r>
      <w:r>
        <w:t xml:space="preserve">.</w:t>
      </w:r>
    </w:p>
    <w:p>
      <w:pPr>
        <w:pStyle w:val="Textoindependiente"/>
      </w:pPr>
      <w:r>
        <w:t xml:space="preserve">Para obtener este nivel de madurez se tuvieron en cuenta las siguientes consideraciones.</w:t>
      </w:r>
    </w:p>
    <w:p>
      <w:pPr>
        <w:pStyle w:val="Textoindependiente"/>
      </w:pPr>
    </w:p>
    <w:bookmarkEnd w:id="26"/>
    <w:bookmarkStart w:id="27" w:name="X8a85673dd4c347dee236f7a0c9fb65bb97b585b"/>
    <w:p>
      <w:pPr>
        <w:pStyle w:val="Ttulo2"/>
      </w:pPr>
      <w:r>
        <w:t xml:space="preserve">Consideraciones y conclusiones respecto a la arquitectura estándar SOA</w:t>
      </w:r>
    </w:p>
    <w:p>
      <w:pPr>
        <w:pStyle w:val="FirstParagraph"/>
      </w:pPr>
      <w:r>
        <w:t xml:space="preserve">El análisis del repositorio SOA del FNA evidencia que existen modelos de datos independientes para las diferentes aplicaciones. Por lo tanto,</w:t>
      </w:r>
      <w:r>
        <w:t xml:space="preserve"> </w:t>
      </w:r>
      <w:r>
        <w:rPr>
          <w:iCs/>
          <w:i/>
        </w:rPr>
        <w:t xml:space="preserve">no existe un modelo de datos común o canónico para la organización</w:t>
      </w:r>
      <w:r>
        <w:t xml:space="preserve">.</w:t>
      </w:r>
    </w:p>
    <w:p>
      <w:pPr>
        <w:pStyle w:val="Textoindependiente"/>
      </w:pPr>
      <w:r>
        <w:t xml:space="preserve">Así mismo, existen inconvenientes en la gestión del ciclo de vida del dato debido a que existen algunas dependencias de algunos los proveedores para incluir reglas de negocio o nuevas entidades de datos.</w:t>
      </w:r>
    </w:p>
    <w:p>
      <w:pPr>
        <w:pStyle w:val="Textoindependiente"/>
      </w:pPr>
      <w:r>
        <w:t xml:space="preserve">La carencia de un modelo de datos canónico de datos no permite que exista un lenguaje común en todos los modelos de datos, es decir, un entendimiento a toda la organización (técnico y funcional) que facilite la explotación y toma de decisiones a partir de los datos (la situación actual crea lo contario, dificultad de la explotación de los datos y la realización de proyectos de mejora de toma de decisiones a partir de los datos).</w:t>
      </w:r>
    </w:p>
    <w:p>
      <w:pPr>
        <w:pStyle w:val="Textoindependiente"/>
      </w:pPr>
      <w:r>
        <w:t xml:space="preserve">Hay desactualización en los artefactos que conforman la arquitectura de datos: modelo de datos empresarial, diccionario de datos, catálogos, matrices y diagramas. Aunque es importante resaltar que actualmente el equipo de TI se encuentra en el desarrollo de un modelo de datos unificado.</w:t>
      </w:r>
    </w:p>
    <w:p>
      <w:pPr>
        <w:pStyle w:val="Textoindependiente"/>
      </w:pPr>
    </w:p>
    <w:bookmarkEnd w:id="27"/>
    <w:bookmarkStart w:id="28" w:name="X2759584c5c835f8bf6b3464f1af72292880461d"/>
    <w:p>
      <w:pPr>
        <w:pStyle w:val="Ttulo2"/>
      </w:pPr>
      <w:r>
        <w:t xml:space="preserve">Consideraciones y conclusiones respecto de las necesidades de integración</w:t>
      </w:r>
    </w:p>
    <w:p>
      <w:pPr>
        <w:pStyle w:val="FirstParagraph"/>
      </w:pPr>
      <w:r>
        <w:t xml:space="preserve">Existen diccionarios de datos particulares para algunas bases de datos, aunque se requiere un diccionario de datos de forma estandarizada, que permita facilitar el entendimiento de éstos y sus relaciones. Así mismo, una herramienta de arquitectura que permita tener las vistas de los modelos conceptuales, lógicos y físicos y su relación con los diferentes servicios, procesos misionales y aplicaciones.</w:t>
      </w:r>
    </w:p>
    <w:p>
      <w:pPr>
        <w:pStyle w:val="Textoindependiente"/>
      </w:pPr>
      <w:r>
        <w:t xml:space="preserve">Es importante identificar cuales datos son maestros y referencias mediante un levantamiento tanto funcional como técnico de estos. Y que permitan a través de una estrategia, tener una vista unificada de los datos que conlleven a la democratización y uso correcto de estos.</w:t>
      </w:r>
    </w:p>
    <w:p>
      <w:pPr>
        <w:pStyle w:val="Textoindependiente"/>
      </w:pPr>
    </w:p>
    <w:bookmarkEnd w:id="28"/>
    <w:bookmarkStart w:id="29" w:name="Xf9a8814be87726acc57f2b1996588ef8df8e83d"/>
    <w:p>
      <w:pPr>
        <w:pStyle w:val="Ttulo2"/>
      </w:pPr>
      <w:r>
        <w:t xml:space="preserve">Consideraciones y conclusiones respecto al gobierno SOA</w:t>
      </w:r>
    </w:p>
    <w:p>
      <w:pPr>
        <w:pStyle w:val="FirstParagraph"/>
      </w:pPr>
      <w:r>
        <w:t xml:space="preserve">Es necesario tener una gestión de los datos más apropiada mediante la incorporación de lineamientos, directrices, indicadores en torno al gobierno de los datos. Esta estrategia permite:</w:t>
      </w:r>
    </w:p>
    <w:p>
      <w:pPr>
        <w:numPr>
          <w:ilvl w:val="0"/>
          <w:numId w:val="1001"/>
        </w:numPr>
      </w:pPr>
      <w:r>
        <w:t xml:space="preserve">Definir, aprobar y comunicar las estrategias, políticas, estándares,</w:t>
      </w:r>
      <w:r>
        <w:t xml:space="preserve"> </w:t>
      </w:r>
      <w:r>
        <w:t xml:space="preserve">arquitectura, procedimientos y métricas de los datos.</w:t>
      </w:r>
    </w:p>
    <w:p>
      <w:pPr>
        <w:numPr>
          <w:ilvl w:val="0"/>
          <w:numId w:val="1001"/>
        </w:numPr>
      </w:pPr>
      <w:r>
        <w:t xml:space="preserve">Monitoreo y cumplimiento de la políticas, estándares, arquitectura y</w:t>
      </w:r>
      <w:r>
        <w:t xml:space="preserve"> </w:t>
      </w:r>
      <w:r>
        <w:t xml:space="preserve">procedimientos de los datos.</w:t>
      </w:r>
    </w:p>
    <w:p>
      <w:pPr>
        <w:numPr>
          <w:ilvl w:val="0"/>
          <w:numId w:val="1001"/>
        </w:numPr>
      </w:pPr>
      <w:r>
        <w:t xml:space="preserve">Promover, monitorear y supervisar los proyectos y servicios</w:t>
      </w:r>
      <w:r>
        <w:t xml:space="preserve"> </w:t>
      </w:r>
      <w:r>
        <w:t xml:space="preserve">relacionados con la Gestión de Datos.</w:t>
      </w:r>
    </w:p>
    <w:p>
      <w:pPr>
        <w:numPr>
          <w:ilvl w:val="0"/>
          <w:numId w:val="1001"/>
        </w:numPr>
      </w:pPr>
      <w:r>
        <w:t xml:space="preserve">Gestionar y resolver problemas relacionados con los datos.</w:t>
      </w:r>
    </w:p>
    <w:p>
      <w:pPr>
        <w:numPr>
          <w:ilvl w:val="0"/>
          <w:numId w:val="1001"/>
        </w:numPr>
      </w:pPr>
      <w:r>
        <w:t xml:space="preserve">Comprender y promover el valor de los datos como un activo</w:t>
      </w: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2" Target="media/rId22.png" /><Relationship Type="http://schemas.openxmlformats.org/officeDocument/2006/relationships/hyperlink" Id="rId25" Target="" TargetMode="External" /><Relationship Type="http://schemas.openxmlformats.org/officeDocument/2006/relationships/hyperlink" Id="rId21" Target="N003e.%20Cat&#225;logo%20de%20Servicios%20FNA-3.md" TargetMode="External" /><Relationship Type="http://schemas.openxmlformats.org/officeDocument/2006/relationships/hyperlink" Id="rId20" Target="N005a.%20Vista%2de%2Integraci&#243;n%2FNA-1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" TargetMode="External" /><Relationship Type="http://schemas.openxmlformats.org/officeDocument/2006/relationships/hyperlink" Id="rId21" Target="N003e.%20Cat&#225;logo%20de%20Servicios%20FNA-3.md" TargetMode="External" /><Relationship Type="http://schemas.openxmlformats.org/officeDocument/2006/relationships/hyperlink" Id="rId20" Target="N005a.%20Vista%2de%2Integraci&#243;n%2FNA-1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2023-01-16T21:14:13Z</dcterms:created>
  <dcterms:modified xsi:type="dcterms:W3CDTF">2023-01-16T21:14:13Z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