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BodyText"/>
      </w:pPr>
    </w:p>
    <w:bookmarkStart w:id="25" w:name="Xc7f0cc3d3f8835f27aed6bfd885d9d10c1b4fe3"/>
    <w:p>
      <w:pPr>
        <w:pStyle w:val="Heading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yperlink"/>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Arquitectura de referencia como guía para el desarrollo del portafolio SOA.</w:t>
      </w:r>
    </w:p>
    <w:p>
      <w:pPr>
        <w:pStyle w:val="BodyText"/>
      </w:pPr>
      <w:r>
        <w:rPr>
          <w:iCs/>
          <w:i/>
        </w:rPr>
        <w:t xml:space="preserve">Fuente: elaboración propia.</w:t>
      </w:r>
    </w:p>
    <w:p>
      <w:pPr>
        <w:pStyle w:val="BodyText"/>
      </w:pPr>
    </w:p>
    <w:p>
      <w:pPr>
        <w:pStyle w:val="BodyText"/>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BodyText"/>
      </w:pPr>
    </w:p>
    <w:bookmarkEnd w:id="25"/>
    <w:bookmarkStart w:id="30" w:name="X65c8b4d8cccdbb6f9e87fd04e3de629f9481b59"/>
    <w:p>
      <w:pPr>
        <w:pStyle w:val="Heading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yperlink"/>
          </w:rPr>
          <w:t xml:space="preserve">Resultado Diagnóstico Situación Actual-3</w:t>
        </w:r>
      </w:hyperlink>
      <w:r>
        <w:t xml:space="preserve">, la prevalencia del enfoque ascendente (desde el provedor hacia negocio)</w:t>
      </w:r>
      <w:r>
        <w:t xml:space="preserve"> </w:t>
      </w:r>
      <w:hyperlink r:id="rId27">
        <w:r>
          <w:rPr>
            <w:rStyle w:val="Hyperlink"/>
          </w:rPr>
          <w:t xml:space="preserve">Resultado Diagnóstico Situación Actual-1a</w:t>
        </w:r>
      </w:hyperlink>
      <w:r>
        <w:t xml:space="preserve">,</w:t>
      </w:r>
    </w:p>
    <w:p>
      <w:pPr>
        <w:pStyle w:val="BodyText"/>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yperlink"/>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Arquitectura de referencia como guía para el desarrollo del portafolio SOA.</w:t>
      </w:r>
    </w:p>
    <w:p>
      <w:pPr>
        <w:pStyle w:val="BodyText"/>
      </w:pPr>
      <w:r>
        <w:rPr>
          <w:iCs/>
          <w:i/>
        </w:rPr>
        <w:t xml:space="preserve">Fuente: elaboración propia.</w:t>
      </w:r>
    </w:p>
    <w:p>
      <w:pPr>
        <w:pStyle w:val="BodyText"/>
      </w:pPr>
    </w:p>
    <w:p>
      <w:pPr>
        <w:pStyle w:val="BodyText"/>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BodyText"/>
      </w:pPr>
    </w:p>
    <w:bookmarkEnd w:id="30"/>
    <w:bookmarkStart w:id="31" w:name="X003888c55d3e5df41de9ba4a528a01f3834d747"/>
    <w:p>
      <w:pPr>
        <w:pStyle w:val="Heading2"/>
      </w:pPr>
      <w:r>
        <w:t xml:space="preserve">Oportunidad 2. Mayor Utilización de la Tecnología SOA del FNA</w:t>
      </w:r>
    </w:p>
    <w:p>
      <w:pPr>
        <w:pStyle w:val="FirstParagraph"/>
      </w:pPr>
      <w:r>
        <w:t xml:space="preserve">(…)</w:t>
      </w:r>
    </w:p>
    <w:p>
      <w:pPr>
        <w:pStyle w:val="BodyText"/>
      </w:pPr>
    </w:p>
    <w:bookmarkEnd w:id="31"/>
    <w:bookmarkStart w:id="35" w:name="Xc99de84f28c844e823ffcd8202ca21b3992aa53"/>
    <w:p>
      <w:pPr>
        <w:pStyle w:val="Heading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BodyText"/>
      </w:pPr>
      <w:hyperlink r:id="rId24">
        <w:r>
          <w:rPr>
            <w:rStyle w:val="Hyperlink"/>
          </w:rPr>
          <w:t xml:space="preserve">Tabla.</w:t>
        </w:r>
      </w:hyperlink>
      <w:r>
        <w:t xml:space="preserve"> </w:t>
      </w:r>
      <w:r>
        <w:t xml:space="preserve">Clasificación de información del repositorio del FNA.</w:t>
      </w:r>
    </w:p>
    <w:p>
      <w:pPr>
        <w:pStyle w:val="BodyText"/>
      </w:pPr>
      <w:r>
        <w:rPr>
          <w:iCs/>
          <w:i/>
        </w:rPr>
        <w:t xml:space="preserve">Fuente: elaboración propia.</w:t>
      </w:r>
    </w:p>
    <w:p>
      <w:pPr>
        <w:pStyle w:val="BodyText"/>
      </w:pPr>
    </w:p>
    <w:p>
      <w:pPr>
        <w:pStyle w:val="BodyText"/>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BodyText"/>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Herramienta para navegación y clasificación de contenidos del FNA.</w:t>
      </w:r>
    </w:p>
    <w:p>
      <w:pPr>
        <w:pStyle w:val="BodyText"/>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2023-01-12T03:57:09Z</dcterms:created>
  <dcterms:modified xsi:type="dcterms:W3CDTF">2023-01-12T03:57:09Z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