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Relación servicios - procesos del FNA</w:t>
      </w:r>
      <w:r>
        <w:t xml:space="preserve"> </w:t>
      </w:r>
      <w:hyperlink r:id="rId20">
        <w:r>
          <w:rPr>
            <w:rStyle w:val="Hipervnculo"/>
          </w:rPr>
          <w:t xml:space="preserve">Procesos de Negocio Objetos del Diagnóstico</w:t>
        </w:r>
      </w:hyperlink>
      <w:r>
        <w:t xml:space="preserve">.</w:t>
      </w:r>
    </w:p>
    <w:bookmarkStart w:id="25" w:name="Xe5b54ca74f4b46d71825abc3b5b5c8c8b2687e8"/>
    <w:p>
      <w:pPr>
        <w:pStyle w:val="Ttulo2"/>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p>
    <w:bookmarkEnd w:id="25"/>
    <w:bookmarkStart w:id="26" w:name="X24e0dd027386869384f2fded39ca9f7a572213d"/>
    <w:p>
      <w:pPr>
        <w:pStyle w:val="Ttulo2"/>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p>
    <w:bookmarkEnd w:id="26"/>
    <w:bookmarkStart w:id="27" w:name="X7163c0f02c43c6c9dd88f9a352ac274268181d6"/>
    <w:p>
      <w:pPr>
        <w:pStyle w:val="Ttulo2"/>
      </w:pPr>
      <w:r>
        <w:t xml:space="preserve">Análisis de Huella y Dependencia Tecnologica SOA del FNA</w:t>
      </w:r>
    </w:p>
    <w:p>
      <w:pPr>
        <w:pStyle w:val="FirstParagraph"/>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Textoindependiente"/>
      </w:pPr>
      <w:r>
        <w:t xml:space="preserve">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p>
      <w:pPr>
        <w:pStyle w:val="Textoindependiente"/>
      </w:pPr>
    </w:p>
    <w:bookmarkEnd w:id="27"/>
    <w:bookmarkStart w:id="28" w:name="Xad727b514f10c91a99e1e36033e87233fbdc6d6"/>
    <w:p>
      <w:pPr>
        <w:pStyle w:val="Ttulo2"/>
      </w:pPr>
      <w:r>
        <w:t xml:space="preserve">Análisis de Huella y Dependencia Tecnológica SOA del FNA</w:t>
      </w:r>
    </w:p>
    <w:p>
      <w:pPr>
        <w:pStyle w:val="FirstParagraph"/>
      </w:pPr>
      <w:r>
        <w:t xml:space="preserve">La dependencia de proveedor también se evidencia en el nivel de infraestructura con el fabricante IBM.</w:t>
      </w:r>
    </w:p>
    <w:p>
      <w:pPr>
        <w:pStyle w:val="Textoindependiente"/>
      </w:pPr>
    </w:p>
    <w:p>
      <w:pPr>
        <w:pStyle w:val="Textoindependiente"/>
      </w:pPr>
      <w:hyperlink r:id="rId24">
        <w:r>
          <w:rPr>
            <w:rStyle w:val="Hipervnculo"/>
          </w:rPr>
          <w:t xml:space="preserve">Imagen.</w:t>
        </w:r>
      </w:hyperlink>
      <w:r>
        <w:t xml:space="preserve"> </w:t>
      </w:r>
      <w:r>
        <w:t xml:space="preserve">Catálogo de tecnologías respecto a servicios de Infraestructura​ del FNA.</w:t>
      </w:r>
    </w:p>
    <w:p>
      <w:pPr>
        <w:pStyle w:val="Textoindependiente"/>
      </w:pPr>
      <w:r>
        <w:rPr>
          <w:iCs/>
          <w:i/>
        </w:rPr>
        <w:t xml:space="preserve">Fuente: Composición de datos basado en arquitectura fna.archimate</w:t>
      </w:r>
    </w:p>
    <w:p>
      <w:pPr>
        <w:pStyle w:val="Textoindependiente"/>
      </w:pPr>
    </w:p>
    <w:p>
      <w:pPr>
        <w:pStyle w:val="Textoindependiente"/>
      </w:pPr>
      <w:r>
        <w:t xml:space="preserve">La infraestructura actual ha sido influenciada por los productos del fabricante IBM, tanto a nivel de plataformas como de tecnologías y soluciones. Esto implica riesgos de esfuerzos altos en el caso de portar de tecnología, actualizar, o sustituir los entornos de ejecución, sistema operativo o arquitectura de procesador.</w:t>
      </w:r>
    </w:p>
    <w:p>
      <w:pPr>
        <w:pStyle w:val="Textoindependiente"/>
      </w:pPr>
      <w:r>
        <w:t xml:space="preserve">Es importante asignarle al</w:t>
      </w:r>
      <w:r>
        <w:t xml:space="preserve"> </w:t>
      </w:r>
      <w:r>
        <w:t xml:space="preserve">‘</w:t>
      </w:r>
      <w:r>
        <w:t xml:space="preserve">CAPE</w:t>
      </w:r>
      <w:r>
        <w:t xml:space="preserve">’</w:t>
      </w:r>
      <w:r>
        <w:t xml:space="preserve"> </w:t>
      </w:r>
      <w:r>
        <w:t xml:space="preserve">un lugar dentro de la documentación de arquitectura, ya que actualmente es un elemento</w:t>
      </w:r>
      <w:r>
        <w:t xml:space="preserve"> </w:t>
      </w:r>
      <w:r>
        <w:t xml:space="preserve">“</w:t>
      </w:r>
      <w:r>
        <w:t xml:space="preserve">transparente</w:t>
      </w:r>
      <w:r>
        <w:t xml:space="preserve">”</w:t>
      </w:r>
      <w:r>
        <w:t xml:space="preserve"> </w:t>
      </w:r>
      <w:r>
        <w:t xml:space="preserve">para la operación de la solución actual; sin embargo, cuando se pretenda implementar arquitecturas nuevas puede limitar el tipo de tecnologías o proveedores que se puedan elegir.</w:t>
      </w:r>
    </w:p>
    <w:p>
      <w:pPr>
        <w:pStyle w:val="Textoindependiente"/>
      </w:pPr>
    </w:p>
    <w:bookmarkEnd w:id="28"/>
    <w:bookmarkStart w:id="29" w:name="análisis-de-gobierno-soa-del-fna"/>
    <w:p>
      <w:pPr>
        <w:pStyle w:val="Ttulo2"/>
      </w:pPr>
      <w:r>
        <w:t xml:space="preserve">Análisis de Gobierno SOA del FNA</w:t>
      </w:r>
    </w:p>
    <w:p>
      <w:pPr>
        <w:pStyle w:val="FirstParagraph"/>
      </w:pPr>
      <w:r>
        <w:t xml:space="preserve">A continuación identificaremos los riesgos que ameritan reforzar el gobierno SOA del Fondo.</w:t>
      </w:r>
    </w:p>
    <w:bookmarkEnd w:id="29"/>
    <w:bookmarkStart w:id="30" w:name="X94d26dee9db28ef7a5d3dadaa2a734a6bdd06b0"/>
    <w:p>
      <w:pPr>
        <w:pStyle w:val="Ttulo2"/>
      </w:pPr>
      <w:r>
        <w:t xml:space="preserve">Riesgo de Inefectividad Tecnológica (versus beneficios SOA)</w:t>
      </w:r>
    </w:p>
    <w:p>
      <w:pPr>
        <w:pStyle w:val="FirstParagraph"/>
      </w:pPr>
      <w:r>
        <w:t xml:space="preserve">Parte importante de la tecnología del Fondo está reflejada en sus aplicaciones y plataforma de software (ver imagen siguiente). Las aplicaciones de proveedor, entre los que se encuentran Transunion, Solusoft, Isolution, y por supuesto, el ERP Cobis, tienen la mayor presencia en el listado de tecnologías, seguido esta de los productos de grandes fabricantes como el bus de IBM, y las bases de datos de Oracle y Sybase.</w:t>
      </w:r>
    </w:p>
    <w:p>
      <w:pPr>
        <w:pStyle w:val="Textoindependiente"/>
      </w:pPr>
      <w:r>
        <w:t xml:space="preserve">El Process Server, componente que tiene un nivel de utilización considerable en el FNA no aparece en este corte, dado que no es una aplicación. Aún así, a este componente le aplique de igual manera este riesgo señalado.</w:t>
      </w:r>
    </w:p>
    <w:p>
      <w:r>
        <w:pict>
          <v:rect style="width:0;height:1.5pt" o:hralign="center" o:hrstd="t" o:hr="t"/>
        </w:pict>
      </w:r>
    </w:p>
    <w:bookmarkEnd w:id="30"/>
    <w:bookmarkStart w:id="32" w:name="Xe5340f4e4041b674d6db373a70536e57f4f5a80"/>
    <w:p>
      <w:pPr>
        <w:pStyle w:val="Ttulo2"/>
      </w:pPr>
      <w:r>
        <w:t xml:space="preserve">Procesos de Negocio Objetos del Diagnóstico</w:t>
      </w:r>
    </w:p>
    <w:p>
      <w:pPr>
        <w:pStyle w:val="FirstParagraph"/>
      </w:pPr>
      <w:r>
        <w:t xml:space="preserve">No es evidenciable en los modelos del FNA la trazabilidad de implementación, ni la trazabilidad de cambios en los servicios con los procesos de negocio elegidos por este diagnóstico (PROC1. Administración de Cuentas y Pago de Cesantías, PROC2. Gestión Crédito, PROC3. Facturación y Cartera. Ver</w:t>
      </w:r>
      <w:r>
        <w:t xml:space="preserve"> </w:t>
      </w:r>
      <w:hyperlink r:id="rId31">
        <w:r>
          <w:rPr>
            <w:rStyle w:val="Hipervnculo"/>
          </w:rPr>
          <w:t xml:space="preserve">01a1.Vista de Contexto</w:t>
        </w:r>
      </w:hyperlink>
      <w:r>
        <w:t xml:space="preserve">). Esto impacta la gestión y nivel de utilización de la infraestructura SOA del FNA, como es el caso de los componentes Process Server y del bus.</w:t>
      </w:r>
    </w:p>
    <w:p>
      <w:pPr>
        <w:numPr>
          <w:ilvl w:val="0"/>
          <w:numId w:val="1001"/>
        </w:numPr>
        <w:pStyle w:val="Compact"/>
      </w:pPr>
      <w:r>
        <w:t xml:space="preserve">PROC1. Administración de Cuentas y Pago de Cesantías (CSNT)</w:t>
      </w:r>
    </w:p>
    <w:p>
      <w:pPr>
        <w:numPr>
          <w:ilvl w:val="0"/>
          <w:numId w:val="1001"/>
        </w:numPr>
        <w:pStyle w:val="Compact"/>
      </w:pPr>
      <w:r>
        <w:t xml:space="preserve">PROC2. Gestión Crédito</w:t>
      </w:r>
    </w:p>
    <w:p>
      <w:pPr>
        <w:numPr>
          <w:ilvl w:val="1"/>
          <w:numId w:val="1002"/>
        </w:numPr>
        <w:pStyle w:val="Compact"/>
      </w:pPr>
      <w:r>
        <w:t xml:space="preserve">PROC2.1. Gestión Crédito Educativo</w:t>
      </w:r>
    </w:p>
    <w:p>
      <w:pPr>
        <w:numPr>
          <w:ilvl w:val="1"/>
          <w:numId w:val="1002"/>
        </w:numPr>
        <w:pStyle w:val="Compact"/>
      </w:pPr>
      <w:r>
        <w:t xml:space="preserve">PROC2.2. Gestión Crédito Hipotecario</w:t>
      </w:r>
    </w:p>
    <w:p>
      <w:pPr>
        <w:numPr>
          <w:ilvl w:val="1"/>
          <w:numId w:val="1002"/>
        </w:numPr>
        <w:pStyle w:val="Compact"/>
      </w:pPr>
      <w:r>
        <w:t xml:space="preserve">PROC2.3. Gestión Crédito Constructor</w:t>
      </w:r>
    </w:p>
    <w:p>
      <w:pPr>
        <w:numPr>
          <w:ilvl w:val="0"/>
          <w:numId w:val="1001"/>
        </w:numPr>
        <w:pStyle w:val="Compact"/>
      </w:pPr>
      <w:r>
        <w:t xml:space="preserve">PROC3. Facturación y Cartera</w:t>
      </w:r>
    </w:p>
    <w:bookmarkEnd w:id="32"/>
    <w:bookmarkStart w:id="33" w:name="X7bea5950db54441d37d484b5c6cc08e5a8a9a09"/>
    <w:p>
      <w:pPr>
        <w:pStyle w:val="Ttulo2"/>
      </w:pPr>
      <w:r>
        <w:t xml:space="preserve">Vista Funcional (arquitectura de referencia)</w:t>
      </w:r>
    </w:p>
    <w:p>
      <w:pPr>
        <w:pStyle w:val="FirstParagraph"/>
      </w:pPr>
      <w:r>
        <w:t xml:space="preserve">Los modelos del FNA carecen de información de los conectores entre las capacidades de negocio del FNA. Esto impacta la manera cómo una capacidad soporta a otra, a la vez que dificulta controlar las tecnologías y estándares involucradas en tales conexiones.</w:t>
      </w:r>
    </w:p>
    <w:p>
      <w:pPr>
        <w:pStyle w:val="Textoindependiente"/>
      </w:pPr>
      <w:r>
        <w:t xml:space="preserve">No es evidenciable la relación de capacidades de negocio y los servicios SOA. Esto impacta a la gestión del portafolio de servicios, particularmente, el crecimiento de los tipos de servicios utilitarios a expensas de los de negocio y composición.</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31" Target="01a1.VistadeContexto.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31" Target="01a1.VistadeContex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2023-01-16T20:07:57Z</dcterms:created>
  <dcterms:modified xsi:type="dcterms:W3CDTF">2023-01-16T20:07:57Z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