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Relación servicios - procesos del FNA</w:t>
      </w:r>
      <w:r>
        <w:t xml:space="preserve"> </w:t>
      </w:r>
      <w:hyperlink r:id="rId20">
        <w:r>
          <w:rPr>
            <w:rStyle w:val="Hipervnculo"/>
          </w:rPr>
          <w:t xml:space="preserve">Procesos de Negocio Objetos del Diagnóstico</w:t>
        </w:r>
      </w:hyperlink>
      <w:r>
        <w:t xml:space="preserve">.</w:t>
      </w:r>
    </w:p>
    <w:bookmarkStart w:id="25" w:name="Xe5b54ca74f4b46d71825abc3b5b5c8c8b2687e8"/>
    <w:p>
      <w:pPr>
        <w:pStyle w:val="Ttulo2"/>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el enfocar los esfuerzos, los análisis, asignar recursos y aplicar controles exclusivos en aquellas partes más cercanas a estas capacidades, y que por ende son las tienden a liberan el mayor valor e impacto positivo para el Fondo. Lo contrario a esto sería desarrollar todo basado en la percepción: desarrollar todo lo que sea percibido en su momento como importante, y después cambiar de objetivo cuando surja uno que tenga mejor percepción.</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p>
    <w:bookmarkEnd w:id="25"/>
    <w:bookmarkStart w:id="26" w:name="X24e0dd027386869384f2fded39ca9f7a572213d"/>
    <w:p>
      <w:pPr>
        <w:pStyle w:val="Ttulo2"/>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sobresale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p>
    <w:p>
      <w:r>
        <w:pict>
          <v:rect style="width:0;height:1.5pt" o:hralign="center" o:hrstd="t" o:hr="t"/>
        </w:pict>
      </w:r>
    </w:p>
    <w:bookmarkEnd w:id="26"/>
    <w:bookmarkStart w:id="28" w:name="Xe5340f4e4041b674d6db373a70536e57f4f5a80"/>
    <w:p>
      <w:pPr>
        <w:pStyle w:val="Ttulo2"/>
      </w:pPr>
      <w:r>
        <w:t xml:space="preserve">Procesos de Negocio Objetos del Diagnóstico</w:t>
      </w:r>
    </w:p>
    <w:p>
      <w:pPr>
        <w:pStyle w:val="FirstParagraph"/>
      </w:pPr>
      <w:r>
        <w:t xml:space="preserve">No es evidenciable en los modelos del FNA la trazabilidad de implementación, ni la trazabilidad de cambios en los servicios con los procesos de negocio elegidos por este diagnóstico (PROC1. Administración de Cuentas y Pago de Cesantías, PROC2. Gestión Crédito, PROC3. Facturación y Cartera. Ver</w:t>
      </w:r>
      <w:r>
        <w:t xml:space="preserve"> </w:t>
      </w:r>
      <w:hyperlink r:id="rId27">
        <w:r>
          <w:rPr>
            <w:rStyle w:val="Hipervnculo"/>
          </w:rPr>
          <w:t xml:space="preserve">01a1.Vista de Contexto</w:t>
        </w:r>
      </w:hyperlink>
      <w:r>
        <w:t xml:space="preserve">). Esto impacta la gestión y nivel de utilización de la infraestructura SOA del FNA, como es el caso de los componentes Process Server y del bus.</w:t>
      </w:r>
    </w:p>
    <w:p>
      <w:pPr>
        <w:numPr>
          <w:ilvl w:val="0"/>
          <w:numId w:val="1001"/>
        </w:numPr>
        <w:pStyle w:val="Compact"/>
      </w:pPr>
      <w:r>
        <w:t xml:space="preserve">PROC1. Administración de Cuentas y Pago de Cesantías (CSNT)</w:t>
      </w:r>
    </w:p>
    <w:p>
      <w:pPr>
        <w:numPr>
          <w:ilvl w:val="0"/>
          <w:numId w:val="1001"/>
        </w:numPr>
        <w:pStyle w:val="Compact"/>
      </w:pPr>
      <w:r>
        <w:t xml:space="preserve">PROC2. Gestión Crédito</w:t>
      </w:r>
    </w:p>
    <w:p>
      <w:pPr>
        <w:numPr>
          <w:ilvl w:val="1"/>
          <w:numId w:val="1002"/>
        </w:numPr>
        <w:pStyle w:val="Compact"/>
      </w:pPr>
      <w:r>
        <w:t xml:space="preserve">PROC2.1. Gestión Crédito Educativo</w:t>
      </w:r>
    </w:p>
    <w:p>
      <w:pPr>
        <w:numPr>
          <w:ilvl w:val="1"/>
          <w:numId w:val="1002"/>
        </w:numPr>
        <w:pStyle w:val="Compact"/>
      </w:pPr>
      <w:r>
        <w:t xml:space="preserve">PROC2.2. Gestión Crédito Hipotecario</w:t>
      </w:r>
    </w:p>
    <w:p>
      <w:pPr>
        <w:numPr>
          <w:ilvl w:val="1"/>
          <w:numId w:val="1002"/>
        </w:numPr>
        <w:pStyle w:val="Compact"/>
      </w:pPr>
      <w:r>
        <w:t xml:space="preserve">PROC2.3. Gestión Crédito Constructor</w:t>
      </w:r>
    </w:p>
    <w:p>
      <w:pPr>
        <w:numPr>
          <w:ilvl w:val="0"/>
          <w:numId w:val="1001"/>
        </w:numPr>
        <w:pStyle w:val="Compact"/>
      </w:pPr>
      <w:r>
        <w:t xml:space="preserve">PROC3. Facturación y Cartera</w:t>
      </w:r>
    </w:p>
    <w:bookmarkEnd w:id="28"/>
    <w:bookmarkStart w:id="29" w:name="X7bea5950db54441d37d484b5c6cc08e5a8a9a09"/>
    <w:p>
      <w:pPr>
        <w:pStyle w:val="Ttulo2"/>
      </w:pPr>
      <w:r>
        <w:t xml:space="preserve">Vista Funcional (arquitectura de referencia)</w:t>
      </w:r>
    </w:p>
    <w:p>
      <w:pPr>
        <w:pStyle w:val="FirstParagraph"/>
      </w:pPr>
      <w:r>
        <w:t xml:space="preserve">Los modelos del FNA carecen de información de los conectores entre las capacidades de negocio del FNA. Esto impacta la manera cómo una capacidad soporta a otra, a la vez que dificulta controlar las tecnologías y estándares involucradas en tales conexiones.</w:t>
      </w:r>
    </w:p>
    <w:p>
      <w:pPr>
        <w:pStyle w:val="Textoindependiente"/>
      </w:pPr>
      <w:r>
        <w:t xml:space="preserve">No es evidenciable la relación de capacidades de negocio y los servicios SOA. Esto impacta a la gestión del portafolio de servicios, particularmente, el crecimiento de los tipos de servicios utilitarios a expensas de los de negocio y composición.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27" Target="01a1.VistadeContexto.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01a1.VistadeContexto.docx" TargetMode="External" /><Relationship Type="http://schemas.openxmlformats.org/officeDocument/2006/relationships/hyperlink" Id="rId27" Target="01a1.VistadeContexto.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2023-01-16T19:43:24Z</dcterms:created>
  <dcterms:modified xsi:type="dcterms:W3CDTF">2023-01-16T19:43:24Z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