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fase-1-estado-soa-actual"/>
    <w:p>
      <w:pPr>
        <w:pStyle w:val="Ttulo1"/>
      </w:pPr>
      <w:r>
        <w:t xml:space="preserve">Fase 1: Estado SOA Actual</w:t>
      </w:r>
    </w:p>
    <w:bookmarkEnd w:id="20"/>
    <w:bookmarkStart w:id="21" w:name="Xde28353806a99316a61e306cd812fd556109b6d"/>
    <w:p>
      <w:pPr>
        <w:pStyle w:val="Ttulo1"/>
      </w:pPr>
      <w:r>
        <w:t xml:space="preserve">Contenido de los Productos Contractuales, 181-2020</w:t>
      </w:r>
    </w:p>
    <w:bookmarkEnd w:id="21"/>
    <w:bookmarkStart w:id="25" w:name="Xcfa40d899d0229d997c64eecb21688676ada7cf"/>
    <w:p>
      <w:pPr>
        <w:pStyle w:val="Ttulo1"/>
      </w:pPr>
      <w:r>
        <w:t xml:space="preserve">Producto 5: PR5. Vigilancia Tecnológica SOA</w:t>
      </w:r>
    </w:p>
    <w:p>
      <w:pPr>
        <w:pStyle w:val="FirstParagraph"/>
      </w:pPr>
      <w:r>
        <w:t xml:space="preserve">Describir y justificar la selección de tecnologías y las técnicas de diseño, implementación y gestión de servicios SOA aplicables al Fondo Nacional del Ahorro (FNA).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provienen únicamente de los objetivos del proyecto SOA: dependencia de proveedor (OBJ1), fortaleza SOA de las aplicaciones (OBJ2), y el tiempo de mercado (OBJ3).</w:t>
      </w:r>
    </w:p>
    <w:p>
      <w:pPr>
        <w:pStyle w:val="Textoindependiente"/>
      </w:pPr>
    </w:p>
    <w:bookmarkStart w:id="22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Identificar los avances en el desarrollo SOA que impulsen a las iniciativas y propuestas de solución SOA para el FNA.</w:t>
      </w:r>
    </w:p>
    <w:p>
      <w:pPr>
        <w:pStyle w:val="Textoindependiente"/>
      </w:pPr>
    </w:p>
    <w:bookmarkEnd w:id="22"/>
    <w:bookmarkStart w:id="23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Lista tecnologías SOA afines al Fondo</w:t>
      </w:r>
    </w:p>
    <w:p>
      <w:pPr>
        <w:numPr>
          <w:ilvl w:val="0"/>
          <w:numId w:val="1001"/>
        </w:numPr>
        <w:pStyle w:val="Compact"/>
      </w:pPr>
      <w:r>
        <w:t xml:space="preserve">Lista de beneficios al FNA por las tecnologías seleccionadas</w:t>
      </w:r>
    </w:p>
    <w:p>
      <w:pPr>
        <w:numPr>
          <w:ilvl w:val="0"/>
          <w:numId w:val="1001"/>
        </w:numPr>
        <w:pStyle w:val="Compact"/>
      </w:pPr>
      <w:r>
        <w:t xml:space="preserve">Implicaciones para la adquisición y adopción tecnológica</w:t>
      </w:r>
    </w:p>
    <w:p>
      <w:pPr>
        <w:pStyle w:val="FirstParagraph"/>
      </w:pPr>
    </w:p>
    <w:bookmarkEnd w:id="23"/>
    <w:bookmarkStart w:id="24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Evaluación e Identificación de la tecnología SOA que mejor se alinea con los objetivos del proyecto.</w:t>
      </w:r>
    </w:p>
    <w:p>
      <w:pPr>
        <w:numPr>
          <w:ilvl w:val="0"/>
          <w:numId w:val="1002"/>
        </w:numPr>
        <w:pStyle w:val="Compact"/>
      </w:pPr>
      <w:r>
        <w:t xml:space="preserve">Presentación de una arquitectura de solución de Alto Nivel</w:t>
      </w:r>
    </w:p>
    <w:p>
      <w:r>
        <w:pict>
          <v:rect style="width:0;height:1.5pt" o:hralign="center" o:hrstd="t" o:hr="t"/>
        </w:pict>
      </w:r>
    </w:p>
    <w:bookmarkEnd w:id="24"/>
    <w:bookmarkEnd w:id="2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2023-01-12T04:20:26Z</dcterms:created>
  <dcterms:modified xsi:type="dcterms:W3CDTF">2023-01-12T04:20:26Z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