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6.png" ContentType="image/png"/>
  <Override PartName="/word/media/rId36.png" ContentType="image/png"/>
  <Override PartName="/word/media/rId25.png" ContentType="image/png"/>
  <Override PartName="/word/media/rId3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86d1b7a del 17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4" w:name="X0d3e4703b7a431296101dfd2ed87ae283a6c75d"/>
    <w:p>
      <w:pPr>
        <w:pStyle w:val="Ttulo1"/>
      </w:pPr>
      <w:r>
        <w:t xml:space="preserve">Tabla de Conclusiones Relevantes del Diagnóstico SOA FNA</w:t>
      </w:r>
    </w:p>
    <w:bookmarkStart w:id="24" w:name="fase-1-situación-actual"/>
    <w:p>
      <w:pPr>
        <w:pStyle w:val="Ttulo2"/>
      </w:pPr>
      <w:r>
        <w:t xml:space="preserve">Fase 1, Situación Actual</w:t>
      </w:r>
    </w:p>
    <w:tbl>
      <w:tblPr>
        <w:tblStyle w:val="Table"/>
        <w:tblW w:type="pct" w:w="4960"/>
        <w:tblLook w:firstRow="0" w:lastRow="0" w:firstColumn="0" w:lastColumn="0" w:noHBand="0" w:noVBand="0" w:val="0000"/>
      </w:tblPr>
      <w:tblGrid>
        <w:gridCol w:w="942"/>
        <w:gridCol w:w="5028"/>
        <w:gridCol w:w="1885"/>
      </w:tblGrid>
      <w:tr>
        <w:tc>
          <w:tcPr>
            <w:vMerge w:val="restart"/>
          </w:tcPr>
          <w:p>
            <w:pPr>
              <w:pStyle w:val="Ttulo1"/>
              <w:jc w:val="left"/>
            </w:pPr>
            <w:bookmarkStart w:id="22" w:name="ámbito"/>
            <w:r>
              <w:rPr>
                <w:bCs/>
                <w:b/>
              </w:rPr>
              <w:t xml:space="preserve">Ámbito</w:t>
            </w:r>
            <w:bookmarkEnd w:id="22"/>
          </w:p>
          <w:p>
            <w:pPr>
              <w:jc w:val="left"/>
            </w:pPr>
            <w:r>
              <w:t xml:space="preserve">Alineación</w:t>
            </w:r>
          </w:p>
        </w:tc>
        <w:tc>
          <w:tcPr>
            <w:vMerge w:val="restart"/>
          </w:tcPr>
          <w:p>
            <w:pPr>
              <w:pStyle w:val="Ttulo1"/>
              <w:jc w:val="left"/>
            </w:pPr>
            <w:bookmarkStart w:id="23" w:name="conclusiones"/>
            <w:r>
              <w:rPr>
                <w:bCs/>
                <w:b/>
              </w:rPr>
              <w:t xml:space="preserve">Conclusiones</w:t>
            </w:r>
            <w:bookmarkEnd w:id="23"/>
          </w:p>
          <w:p>
            <w:pPr>
              <w:numPr>
                <w:ilvl w:val="0"/>
                <w:numId w:val="1001"/>
              </w:numPr>
              <w:pStyle w:val="Compact"/>
              <w:jc w:val="left"/>
            </w:pPr>
            <w:r>
              <w:t xml:space="preserve">Alineación Mediante Relación Capacidades-Servicios SOA</w:t>
            </w:r>
          </w:p>
          <w:p>
            <w:pPr>
              <w:numPr>
                <w:ilvl w:val="0"/>
                <w:numId w:val="1001"/>
              </w:numPr>
              <w:pStyle w:val="Compact"/>
              <w:jc w:val="left"/>
            </w:pPr>
            <w:r>
              <w:t xml:space="preserve">Alineación Mediante Clasificación del Portafolio de Servicios SOA del FNA</w:t>
            </w:r>
          </w:p>
        </w:tc>
        <w:tc>
          <w:tcPr/>
          <w:p>
            <w:pPr>
              <w:pStyle w:val="Compact"/>
            </w:pPr>
          </w:p>
        </w:tc>
      </w:tr>
      <w:tr>
        <w:tc>
          <w:tcPr>
            <w:gridSpan w:val="1"/>
            <w:vMerge w:val="continue"/>
          </w:tcPr>
          <w:p>
            <w:pPr/>
          </w:p>
        </w:tc>
        <w:tc>
          <w:tcPr>
            <w:gridSpan w:val="1"/>
            <w:vMerge w:val="continue"/>
          </w:tcPr>
          <w:p>
            <w:pPr/>
          </w:p>
        </w:tc>
        <w:tc>
          <w:tcPr/>
          <w:p>
            <w:pPr>
              <w:pStyle w:val="Compact"/>
            </w:pPr>
          </w:p>
        </w:tc>
      </w:tr>
      <w:tr>
        <w:tc>
          <w:tcPr/>
          <w:p>
            <w:pPr>
              <w:pStyle w:val="Compact"/>
              <w:jc w:val="left"/>
            </w:pPr>
            <w:r>
              <w:t xml:space="preserve">Tecnología</w:t>
            </w:r>
          </w:p>
        </w:tc>
        <w:tc>
          <w:tcPr/>
          <w:p>
            <w:pPr>
              <w:numPr>
                <w:ilvl w:val="0"/>
                <w:numId w:val="1002"/>
              </w:numPr>
              <w:pStyle w:val="Compact"/>
              <w:jc w:val="left"/>
            </w:pPr>
            <w:r>
              <w:t xml:space="preserve">Análisis de Huella y Dependencia Tecnológica SOA del FNA</w:t>
            </w:r>
          </w:p>
        </w:tc>
        <w:tc>
          <w:tcPr/>
          <w:p>
            <w:pPr>
              <w:pStyle w:val="Compact"/>
            </w:pPr>
          </w:p>
        </w:tc>
      </w:tr>
      <w:tr>
        <w:tc>
          <w:tcPr/>
          <w:p>
            <w:pPr>
              <w:pStyle w:val="Compact"/>
              <w:jc w:val="left"/>
            </w:pPr>
            <w:r>
              <w:t xml:space="preserve">Gobierno</w:t>
            </w:r>
          </w:p>
        </w:tc>
        <w:tc>
          <w:tcPr/>
          <w:p>
            <w:pPr>
              <w:numPr>
                <w:ilvl w:val="0"/>
                <w:numId w:val="1003"/>
              </w:numPr>
              <w:pStyle w:val="Compact"/>
              <w:jc w:val="left"/>
            </w:pPr>
            <w:r>
              <w:t xml:space="preserve">Riesgo de Inefectividad Tecnológica (versus beneficios SOA)</w:t>
            </w:r>
          </w:p>
          <w:p>
            <w:pPr>
              <w:numPr>
                <w:ilvl w:val="0"/>
                <w:numId w:val="1003"/>
              </w:numPr>
              <w:pStyle w:val="Compact"/>
              <w:jc w:val="left"/>
            </w:pPr>
            <w:r>
              <w:t xml:space="preserve">Riesgo de Vigilancia de Soluciones SOA (versus beneficios SOA)</w:t>
            </w:r>
          </w:p>
        </w:tc>
        <w:tc>
          <w:tcPr/>
          <w:p>
            <w:pPr>
              <w:pStyle w:val="Compact"/>
            </w:pPr>
          </w:p>
        </w:tc>
      </w:tr>
      <w:tr>
        <w:tc>
          <w:tcPr/>
          <w:p>
            <w:pPr>
              <w:pStyle w:val="Compact"/>
              <w:jc w:val="left"/>
            </w:pPr>
            <w:r>
              <w:t xml:space="preserve">SOA</w:t>
            </w:r>
          </w:p>
        </w:tc>
        <w:tc>
          <w:tcPr/>
          <w:p>
            <w:pPr>
              <w:numPr>
                <w:ilvl w:val="0"/>
                <w:numId w:val="1004"/>
              </w:numPr>
              <w:pStyle w:val="Compact"/>
              <w:jc w:val="left"/>
            </w:pPr>
            <w:r>
              <w:t xml:space="preserve">Análisis de las Fortalezas SOA del FNA</w:t>
            </w:r>
          </w:p>
          <w:p>
            <w:pPr>
              <w:numPr>
                <w:ilvl w:val="0"/>
                <w:numId w:val="1004"/>
              </w:numPr>
              <w:pStyle w:val="Compact"/>
              <w:jc w:val="left"/>
            </w:pPr>
            <w:r>
              <w:t xml:space="preserve">Interdependencias del Portafolio FNA</w:t>
            </w:r>
          </w:p>
        </w:tc>
        <w:tc>
          <w:tcPr/>
          <w:p>
            <w:pPr>
              <w:pStyle w:val="Compact"/>
            </w:pPr>
          </w:p>
        </w:tc>
      </w:tr>
      <w:tr>
        <w:tc>
          <w:tcPr/>
          <w:p>
            <w:pPr>
              <w:pStyle w:val="Compact"/>
              <w:jc w:val="left"/>
            </w:pPr>
            <w:r>
              <w:t xml:space="preserve">Oportunidad</w:t>
            </w:r>
          </w:p>
        </w:tc>
        <w:tc>
          <w:tcPr>
            <w:gridSpan w:val="2"/>
          </w:tcPr>
          <w:p>
            <w:pPr>
              <w:numPr>
                <w:ilvl w:val="0"/>
                <w:numId w:val="1005"/>
              </w:numPr>
              <w:pStyle w:val="Compact"/>
              <w:jc w:val="left"/>
            </w:pPr>
          </w:p>
          <w:p>
            <w:pPr>
              <w:numPr>
                <w:ilvl w:val="1"/>
                <w:numId w:val="1006"/>
              </w:numPr>
              <w:pStyle w:val="Compact"/>
              <w:jc w:val="left"/>
            </w:pPr>
            <w:r>
              <w:t xml:space="preserve">Desarrollo de Servicios FNA Guiada por la Arquitectura de Referencia |</w:t>
            </w:r>
          </w:p>
          <w:p>
            <w:pPr>
              <w:numPr>
                <w:ilvl w:val="0"/>
                <w:numId w:val="1005"/>
              </w:numPr>
              <w:pStyle w:val="Compact"/>
              <w:jc w:val="left"/>
            </w:pPr>
          </w:p>
          <w:p>
            <w:pPr>
              <w:numPr>
                <w:ilvl w:val="1"/>
                <w:numId w:val="1007"/>
              </w:numPr>
              <w:pStyle w:val="Compact"/>
              <w:jc w:val="left"/>
            </w:pPr>
            <w:r>
              <w:t xml:space="preserve">Mayor Utilización de la Tecnología SOA del FNA |</w:t>
            </w:r>
          </w:p>
          <w:p>
            <w:pPr>
              <w:numPr>
                <w:ilvl w:val="0"/>
                <w:numId w:val="1005"/>
              </w:numPr>
              <w:pStyle w:val="Compact"/>
              <w:jc w:val="left"/>
            </w:pPr>
          </w:p>
          <w:p>
            <w:pPr>
              <w:numPr>
                <w:ilvl w:val="1"/>
                <w:numId w:val="1008"/>
              </w:numPr>
              <w:pStyle w:val="Compact"/>
              <w:jc w:val="left"/>
            </w:pPr>
            <w:r>
              <w:t xml:space="preserve">Gestión de la Tecnología (gobierno) por Medio de Arquitectura|</w:t>
            </w:r>
          </w:p>
        </w:tc>
      </w:tr>
      <w:tr>
        <w:tc>
          <w:tcPr/>
          <w:p>
            <w:pPr>
              <w:pStyle w:val="Compact"/>
              <w:jc w:val="left"/>
            </w:pPr>
            <w:r>
              <w:t xml:space="preserve">Arquitectura</w:t>
            </w:r>
          </w:p>
        </w:tc>
        <w:tc>
          <w:tcPr>
            <w:gridSpan w:val="2"/>
          </w:tcPr>
          <w:p>
            <w:pPr>
              <w:numPr>
                <w:ilvl w:val="0"/>
                <w:numId w:val="1009"/>
              </w:numPr>
              <w:pStyle w:val="Compact"/>
              <w:jc w:val="left"/>
            </w:pPr>
            <w:r>
              <w:t xml:space="preserve">Articulación y fortalecimiento del equipo de arquitectura del FNA junto al de los proveedores|</w:t>
            </w:r>
          </w:p>
        </w:tc>
      </w:tr>
      <w:tr>
        <w:tc>
          <w:tcPr/>
          <w:p>
            <w:pPr>
              <w:pStyle w:val="Compact"/>
              <w:jc w:val="left"/>
            </w:pPr>
            <w:r>
              <w:t xml:space="preserve">Madurez</w:t>
            </w:r>
          </w:p>
        </w:tc>
        <w:tc>
          <w:tcPr>
            <w:gridSpan w:val="2"/>
          </w:tcPr>
          <w:p>
            <w:pPr>
              <w:numPr>
                <w:ilvl w:val="0"/>
                <w:numId w:val="1010"/>
              </w:numPr>
              <w:pStyle w:val="Compact"/>
              <w:jc w:val="left"/>
            </w:pPr>
            <w:r>
              <w:t xml:space="preserve">El resultado del nivel de cumplimiento del dominio de información del FNA es (nivel 2, OSIMM),</w:t>
            </w:r>
            <w:r>
              <w:t xml:space="preserve"> </w:t>
            </w:r>
            <w:r>
              <w:rPr>
                <w:iCs/>
                <w:i/>
              </w:rPr>
              <w:t xml:space="preserve">Realizado</w:t>
            </w:r>
          </w:p>
        </w:tc>
      </w:tr>
    </w:tbl>
    <w:p>
      <w:pPr>
        <w:pStyle w:val="FirstParagraph"/>
      </w:pPr>
    </w:p>
    <w:bookmarkEnd w:id="24"/>
    <w:bookmarkStart w:id="29"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6" name="Picture"/>
            <a:graphic>
              <a:graphicData uri="http://schemas.openxmlformats.org/drawingml/2006/picture">
                <pic:pic>
                  <pic:nvPicPr>
                    <pic:cNvPr descr="images/conclusiones-2.png" id="27" name="Picture"/>
                    <pic:cNvPicPr>
                      <a:picLocks noChangeArrowheads="1" noChangeAspect="1"/>
                    </pic:cNvPicPr>
                  </pic:nvPicPr>
                  <pic:blipFill>
                    <a:blip r:embed="rId25"/>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8">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9"/>
    <w:bookmarkStart w:id="30"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8">
        <w:r>
          <w:rPr>
            <w:rStyle w:val="Hipervnculo"/>
          </w:rPr>
          <w:t xml:space="preserve">Tabla.</w:t>
        </w:r>
      </w:hyperlink>
      <w:r>
        <w:t xml:space="preserve"> </w:t>
      </w:r>
      <w:r>
        <w:t xml:space="preserve">Catalogación de los tipos de servicios SOA del FNA.</w:t>
      </w:r>
    </w:p>
    <w:p>
      <w:pPr>
        <w:pStyle w:val="Textoindependiente"/>
      </w:pPr>
    </w:p>
    <w:bookmarkEnd w:id="30"/>
    <w:bookmarkStart w:id="31"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31"/>
    <w:bookmarkStart w:id="35"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3" name="Picture"/>
            <a:graphic>
              <a:graphicData uri="http://schemas.openxmlformats.org/drawingml/2006/picture">
                <pic:pic>
                  <pic:nvPicPr>
                    <pic:cNvPr descr="images/conclusiones-5.png" id="34" name="Picture"/>
                    <pic:cNvPicPr>
                      <a:picLocks noChangeArrowheads="1" noChangeAspect="1"/>
                    </pic:cNvPicPr>
                  </pic:nvPicPr>
                  <pic:blipFill>
                    <a:blip r:embed="rId32"/>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8">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5"/>
    <w:bookmarkStart w:id="42"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9"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7" name="Picture"/>
            <a:graphic>
              <a:graphicData uri="http://schemas.openxmlformats.org/drawingml/2006/picture">
                <pic:pic>
                  <pic:nvPicPr>
                    <pic:cNvPr descr="images/catalogoaplicaciones.png" id="38" name="Picture"/>
                    <pic:cNvPicPr>
                      <a:picLocks noChangeArrowheads="1" noChangeAspect="1"/>
                    </pic:cNvPicPr>
                  </pic:nvPicPr>
                  <pic:blipFill>
                    <a:blip r:embed="rId36"/>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8">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9"/>
    <w:bookmarkStart w:id="41"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40">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41"/>
    <w:bookmarkEnd w:id="42"/>
    <w:bookmarkStart w:id="52"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5"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3">
        <w:r>
          <w:rPr>
            <w:rStyle w:val="Hipervnculo"/>
          </w:rPr>
          <w:t xml:space="preserve">N003e. Catálogo de Servicios FNA-1</w:t>
        </w:r>
      </w:hyperlink>
      <w:r>
        <w:t xml:space="preserve">, y</w:t>
      </w:r>
      <w:r>
        <w:t xml:space="preserve"> </w:t>
      </w:r>
      <w:hyperlink r:id="rId44">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5"/>
    <w:bookmarkStart w:id="49"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4">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7" name="Picture"/>
            <a:graphic>
              <a:graphicData uri="http://schemas.openxmlformats.org/drawingml/2006/picture">
                <pic:pic>
                  <pic:nvPicPr>
                    <pic:cNvPr descr="images/VistaPortafolio-CatalogoServiciosFNA.1.png" id="48" name="Picture"/>
                    <pic:cNvPicPr>
                      <a:picLocks noChangeArrowheads="1" noChangeAspect="1"/>
                    </pic:cNvPicPr>
                  </pic:nvPicPr>
                  <pic:blipFill>
                    <a:blip r:embed="rId46"/>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8">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9"/>
    <w:bookmarkStart w:id="51"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50">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51"/>
    <w:bookmarkEnd w:id="52"/>
    <w:bookmarkStart w:id="53"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3"/>
    <w:bookmarkEnd w:id="5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hyperlink" Id="rId28" Target="" TargetMode="External" /><Relationship Type="http://schemas.openxmlformats.org/officeDocument/2006/relationships/hyperlink" Id="rId50" Target="N003e.Cat&#225;logodeServicios.md" TargetMode="External" /><Relationship Type="http://schemas.openxmlformats.org/officeDocument/2006/relationships/hyperlink" Id="rId43" Target="N003e.Cat&#225;logodeServiciosFNA-1.md" TargetMode="External" /><Relationship Type="http://schemas.openxmlformats.org/officeDocument/2006/relationships/hyperlink" Id="rId44" Target="N003e.Cat&#225;logodeServiciosFNA-2.md" TargetMode="External" /><Relationship Type="http://schemas.openxmlformats.org/officeDocument/2006/relationships/hyperlink" Id="rId40"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8" Target="" TargetMode="External" /><Relationship Type="http://schemas.openxmlformats.org/officeDocument/2006/relationships/hyperlink" Id="rId50" Target="N003e.Cat&#225;logodeServicios.md" TargetMode="External" /><Relationship Type="http://schemas.openxmlformats.org/officeDocument/2006/relationships/hyperlink" Id="rId43" Target="N003e.Cat&#225;logodeServiciosFNA-1.md" TargetMode="External" /><Relationship Type="http://schemas.openxmlformats.org/officeDocument/2006/relationships/hyperlink" Id="rId44" Target="N003e.Cat&#225;logodeServiciosFNA-2.md" TargetMode="External" /><Relationship Type="http://schemas.openxmlformats.org/officeDocument/2006/relationships/hyperlink" Id="rId40"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2023-01-17T17:30:53Z</dcterms:created>
  <dcterms:modified xsi:type="dcterms:W3CDTF">2023-01-17T17:30:53Z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