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0134ba0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rPr>
                <w:bCs/>
                <w:b/>
              </w:rPr>
              <w:t xml:space="preserve">Ámbito</w:t>
            </w:r>
          </w:p>
        </w:tc>
        <w:tc>
          <w:tcPr/>
          <w:p>
            <w:pPr>
              <w:pStyle w:val="Compact"/>
              <w:jc w:val="left"/>
            </w:pPr>
            <w:r>
              <w:rPr>
                <w:bCs/>
                <w:b/>
              </w:rP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p>
        </w:tc>
      </w:tr>
      <w:tr>
        <w:tc>
          <w:tcPr/>
          <w:p>
            <w:pPr>
              <w:pStyle w:val="Compact"/>
            </w:pPr>
          </w:p>
        </w:tc>
        <w:tc>
          <w:tcPr/>
          <w:p>
            <w:pPr>
              <w:pStyle w:val="Compact"/>
              <w:jc w:val="left"/>
            </w:pPr>
            <w:r>
              <w:t xml:space="preserve">- Alineación Mediante Clasificación del Portafolio de Servicios SOA del FNA</w:t>
            </w:r>
          </w:p>
        </w:tc>
      </w:tr>
      <w:tr>
        <w:tc>
          <w:tcPr/>
          <w:p>
            <w:pPr>
              <w:pStyle w:val="Compact"/>
              <w:jc w:val="left"/>
            </w:pPr>
            <w:r>
              <w:t xml:space="preserve">————</w:t>
            </w:r>
          </w:p>
        </w:tc>
        <w:tc>
          <w:tcPr/>
          <w:p>
            <w:pPr>
              <w:pStyle w:val="Compact"/>
              <w:jc w:val="left"/>
            </w:pPr>
            <w:r>
              <w:t xml:space="preserve">—————————————————————————–</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w:t>
            </w:r>
          </w:p>
        </w:tc>
        <w:tc>
          <w:tcPr/>
          <w:p>
            <w:pPr>
              <w:pStyle w:val="Compact"/>
              <w:jc w:val="left"/>
            </w:pPr>
            <w:r>
              <w:t xml:space="preserve">—————————————————————————–</w:t>
            </w:r>
          </w:p>
        </w:tc>
      </w:tr>
      <w:tr>
        <w:tc>
          <w:tcPr/>
          <w:p>
            <w:pPr>
              <w:pStyle w:val="Compact"/>
              <w:jc w:val="left"/>
            </w:pPr>
            <w:r>
              <w:t xml:space="preserve">Gobierno SOA</w:t>
            </w:r>
          </w:p>
        </w:tc>
        <w:tc>
          <w:tcPr/>
          <w:p>
            <w:pPr>
              <w:pStyle w:val="Compact"/>
              <w:jc w:val="left"/>
            </w:pPr>
            <w:r>
              <w:t xml:space="preserve">- Riesgo de Inefectividad Tecnológica (versus beneficios SOA)</w:t>
            </w:r>
          </w:p>
        </w:tc>
      </w:tr>
      <w:tr>
        <w:tc>
          <w:tcPr/>
          <w:p>
            <w:pPr>
              <w:pStyle w:val="Compact"/>
            </w:pPr>
          </w:p>
        </w:tc>
        <w:tc>
          <w:tcPr/>
          <w:p>
            <w:pPr>
              <w:pStyle w:val="Compact"/>
              <w:jc w:val="left"/>
            </w:pPr>
            <w:r>
              <w:t xml:space="preserve">- Riesgo de Vigilancia de Soluciones SOA (versus beneficios SOA)</w:t>
            </w:r>
          </w:p>
        </w:tc>
      </w:tr>
      <w:tr>
        <w:tc>
          <w:tcPr/>
          <w:p>
            <w:pPr>
              <w:pStyle w:val="Compact"/>
              <w:jc w:val="left"/>
            </w:pPr>
            <w:r>
              <w:t xml:space="preserve">————</w:t>
            </w:r>
          </w:p>
        </w:tc>
        <w:tc>
          <w:tcPr/>
          <w:p>
            <w:pPr>
              <w:pStyle w:val="Compact"/>
              <w:jc w:val="left"/>
            </w:pPr>
            <w:r>
              <w:t xml:space="preserve">—————————————————————————–</w:t>
            </w:r>
          </w:p>
        </w:tc>
      </w:tr>
      <w:tr>
        <w:tc>
          <w:tcPr/>
          <w:p>
            <w:pPr>
              <w:pStyle w:val="Compact"/>
              <w:jc w:val="left"/>
            </w:pPr>
            <w:r>
              <w:t xml:space="preserve">SOA</w:t>
            </w:r>
          </w:p>
        </w:tc>
        <w:tc>
          <w:tcPr/>
          <w:p>
            <w:pPr>
              <w:pStyle w:val="Compact"/>
              <w:jc w:val="left"/>
            </w:pPr>
            <w:r>
              <w:t xml:space="preserve">- Análisis de las Fortalezas SOA del FNA</w:t>
            </w:r>
          </w:p>
        </w:tc>
      </w:tr>
      <w:tr>
        <w:tc>
          <w:tcPr/>
          <w:p>
            <w:pPr>
              <w:pStyle w:val="Compact"/>
            </w:pPr>
          </w:p>
        </w:tc>
        <w:tc>
          <w:tcPr/>
          <w:p>
            <w:pPr>
              <w:pStyle w:val="Compact"/>
              <w:jc w:val="left"/>
            </w:pPr>
            <w:r>
              <w:t xml:space="preserve">- Interdependencias del Portafolio FNA</w:t>
            </w:r>
          </w:p>
        </w:tc>
      </w:tr>
      <w:tr>
        <w:tc>
          <w:tcPr/>
          <w:p>
            <w:pPr>
              <w:pStyle w:val="Compact"/>
              <w:jc w:val="left"/>
            </w:pPr>
            <w:r>
              <w:t xml:space="preserve">————</w:t>
            </w:r>
          </w:p>
        </w:tc>
        <w:tc>
          <w:tcPr/>
          <w:p>
            <w:pPr>
              <w:pStyle w:val="Compact"/>
              <w:jc w:val="left"/>
            </w:pPr>
            <w:r>
              <w:t xml:space="preserve">—————————————————————————–</w:t>
            </w:r>
          </w:p>
        </w:tc>
      </w:tr>
    </w:tbl>
    <w:p>
      <w:pPr>
        <w:pStyle w:val="Textoindependiente"/>
      </w:pPr>
    </w:p>
    <w:tbl>
      <w:tblPr>
        <w:tblStyle w:val="Table"/>
        <w:tblW w:type="pct" w:w="3681"/>
        <w:tblLook w:firstRow="1" w:lastRow="0" w:firstColumn="0" w:lastColumn="0" w:noHBand="0" w:noVBand="0" w:val="0020"/>
      </w:tblPr>
      <w:tblGrid>
        <w:gridCol w:w="1760"/>
        <w:gridCol w:w="1760"/>
        <w:gridCol w:w="2310"/>
      </w:tblGrid>
      <w:tr>
        <w:trPr>
          <w:tblHeader w:val="true"/>
        </w:trPr>
        <w:tc>
          <w:tcPr/>
          <w:p>
            <w:pPr>
              <w:pStyle w:val="Compact"/>
              <w:jc w:val="left"/>
            </w:pPr>
            <w:r>
              <w:t xml:space="preserve">Fruit</w:t>
            </w:r>
          </w:p>
        </w:tc>
        <w:tc>
          <w:tcPr/>
          <w:p>
            <w:pPr>
              <w:pStyle w:val="Compact"/>
              <w:jc w:val="left"/>
            </w:pPr>
            <w:r>
              <w:t xml:space="preserve">Price</w:t>
            </w:r>
          </w:p>
        </w:tc>
        <w:tc>
          <w:tcPr/>
          <w:p>
            <w:pPr>
              <w:pStyle w:val="Compact"/>
              <w:jc w:val="left"/>
            </w:pPr>
            <w:r>
              <w:t xml:space="preserve">Advantages</w:t>
            </w:r>
          </w:p>
        </w:tc>
      </w:tr>
      <w:tr>
        <w:tc>
          <w:tcPr/>
          <w:p>
            <w:pPr>
              <w:pStyle w:val="Compact"/>
              <w:jc w:val="left"/>
            </w:pPr>
            <w:r>
              <w:t xml:space="preserve">Bananas</w:t>
            </w:r>
          </w:p>
        </w:tc>
        <w:tc>
          <w:tcPr/>
          <w:p>
            <w:pPr>
              <w:pStyle w:val="Compact"/>
              <w:jc w:val="left"/>
            </w:pPr>
            <w:r>
              <w:t xml:space="preserve">$1.34</w:t>
            </w:r>
          </w:p>
        </w:tc>
        <w:tc>
          <w:tcPr/>
          <w:p>
            <w:pPr>
              <w:numPr>
                <w:ilvl w:val="0"/>
                <w:numId w:val="1001"/>
              </w:numPr>
              <w:pStyle w:val="Compact"/>
              <w:jc w:val="left"/>
            </w:pPr>
            <w:r>
              <w:t xml:space="preserve">built-in wrapper</w:t>
            </w:r>
          </w:p>
          <w:p>
            <w:pPr>
              <w:numPr>
                <w:ilvl w:val="0"/>
                <w:numId w:val="1001"/>
              </w:numPr>
              <w:pStyle w:val="Compact"/>
              <w:jc w:val="left"/>
            </w:pPr>
            <w:r>
              <w:t xml:space="preserve">bright color</w:t>
            </w:r>
          </w:p>
        </w:tc>
      </w:tr>
      <w:tr>
        <w:tc>
          <w:tcPr/>
          <w:p>
            <w:pPr>
              <w:pStyle w:val="Compact"/>
              <w:jc w:val="left"/>
            </w:pPr>
            <w:r>
              <w:t xml:space="preserve">Oranges</w:t>
            </w:r>
          </w:p>
        </w:tc>
        <w:tc>
          <w:tcPr/>
          <w:p>
            <w:pPr>
              <w:pStyle w:val="Compact"/>
              <w:jc w:val="left"/>
            </w:pPr>
            <w:r>
              <w:t xml:space="preserve">$2.10</w:t>
            </w:r>
          </w:p>
        </w:tc>
        <w:tc>
          <w:tcPr/>
          <w:p>
            <w:pPr>
              <w:numPr>
                <w:ilvl w:val="0"/>
                <w:numId w:val="1002"/>
              </w:numPr>
              <w:pStyle w:val="Compact"/>
              <w:jc w:val="left"/>
            </w:pPr>
            <w:r>
              <w:t xml:space="preserve">cures scurvy</w:t>
            </w:r>
          </w:p>
          <w:p>
            <w:pPr>
              <w:numPr>
                <w:ilvl w:val="0"/>
                <w:numId w:val="1002"/>
              </w:numPr>
              <w:pStyle w:val="Compact"/>
              <w:jc w:val="left"/>
            </w:pPr>
            <w:r>
              <w:t xml:space="preserve">tasty</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2023-01-17T16:33:28Z</dcterms:created>
  <dcterms:modified xsi:type="dcterms:W3CDTF">2023-01-17T16:33:28Z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