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86f6b3b del 17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rPr>
                <w:bCs/>
                <w:b/>
              </w:rPr>
              <w:t xml:space="preserve">Ámbito</w:t>
            </w:r>
          </w:p>
        </w:tc>
        <w:tc>
          <w:tcPr/>
          <w:p>
            <w:pPr>
              <w:pStyle w:val="Compact"/>
              <w:jc w:val="left"/>
            </w:pPr>
            <w:r>
              <w:rPr>
                <w:bCs/>
                <w:b/>
              </w:rPr>
              <w:t xml:space="preserve">Conclusiones</w:t>
            </w: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r>
      <w:tr>
        <w:tc>
          <w:tcPr/>
          <w:p>
            <w:pPr>
              <w:pStyle w:val="Compact"/>
              <w:jc w:val="left"/>
            </w:pPr>
            <w:r>
              <w:t xml:space="preserve">Gobierno SOA</w:t>
            </w:r>
          </w:p>
        </w:tc>
        <w:tc>
          <w:tcPr/>
          <w:p>
            <w:pPr>
              <w:numPr>
                <w:ilvl w:val="0"/>
                <w:numId w:val="1003"/>
              </w:numPr>
              <w:pStyle w:val="Compact"/>
              <w:jc w:val="left"/>
            </w:pPr>
            <w:r>
              <w:t xml:space="preserve">Riesgo de Inefectividad Tecnológica (versus beneficios SOA)</w:t>
            </w:r>
          </w:p>
          <w:p>
            <w:pPr>
              <w:numPr>
                <w:ilvl w:val="0"/>
                <w:numId w:val="1003"/>
              </w:numPr>
              <w:pStyle w:val="Compact"/>
              <w:jc w:val="left"/>
            </w:pPr>
            <w:r>
              <w:t xml:space="preserve">Riesgo de Vigilancia de Soluciones SOA (versus beneficios SOA)</w:t>
            </w:r>
          </w:p>
        </w:tc>
      </w:tr>
      <w:tr>
        <w:tc>
          <w:tcPr/>
          <w:p>
            <w:pPr>
              <w:pStyle w:val="Compact"/>
              <w:jc w:val="left"/>
            </w:pPr>
            <w:r>
              <w:t xml:space="preserve">SOA</w:t>
            </w:r>
          </w:p>
        </w:tc>
        <w:tc>
          <w:tcPr/>
          <w:p>
            <w:pPr>
              <w:numPr>
                <w:ilvl w:val="0"/>
                <w:numId w:val="1004"/>
              </w:numPr>
              <w:pStyle w:val="Compact"/>
              <w:jc w:val="left"/>
            </w:pPr>
            <w:r>
              <w:t xml:space="preserve">Análisis de las Fortalezas SOA del FNA</w:t>
            </w:r>
          </w:p>
          <w:p>
            <w:pPr>
              <w:numPr>
                <w:ilvl w:val="0"/>
                <w:numId w:val="1004"/>
              </w:numPr>
              <w:pStyle w:val="Compact"/>
              <w:jc w:val="left"/>
            </w:pPr>
            <w:r>
              <w:t xml:space="preserve">Interdependencias del Portafolio FNA</w:t>
            </w:r>
          </w:p>
        </w:tc>
      </w:tr>
    </w:tbl>
    <w:p>
      <w:pPr>
        <w:pStyle w:val="FirstParagraph"/>
      </w:pPr>
    </w:p>
    <w:tbl>
      <w:tblPr>
        <w:tblStyle w:val="Table"/>
        <w:tblW w:type="auto" w:w="0"/>
        <w:tblLook w:firstRow="0" w:lastRow="0" w:firstColumn="0" w:lastColumn="0" w:noHBand="0" w:noVBand="0" w:val="0000"/>
      </w:tblPr>
      <w:tblGrid>
        <w:gridCol w:w="7920"/>
      </w:tblGrid>
      <w:tr>
        <w:tc>
          <w:tcPr/>
          <w:p>
            <w:pPr>
              <w:pStyle w:val="Compact"/>
              <w:jc w:val="center"/>
            </w:pPr>
            <w:r>
              <w:t xml:space="preserve">Centered Default Right Left</w:t>
            </w:r>
          </w:p>
        </w:tc>
      </w:tr>
      <w:tr>
        <w:tc>
          <w:tcPr/>
          <w:p>
            <w:pPr>
              <w:pStyle w:val="Compact"/>
              <w:jc w:val="center"/>
            </w:pPr>
            <w:r>
              <w:t xml:space="preserve">Header Aligned Aligned Aligned</w:t>
            </w:r>
          </w:p>
        </w:tc>
      </w:tr>
    </w:tbl>
    <w:p>
      <w:pPr>
        <w:pStyle w:val="Textoindependiente"/>
      </w:pPr>
      <w:r>
        <w:t xml:space="preserve">First row 12.0 Example of a row that</w:t>
      </w:r>
      <w:r>
        <w:t xml:space="preserve"> </w:t>
      </w:r>
      <w:r>
        <w:t xml:space="preserve">spans multiple lines.</w:t>
      </w:r>
    </w:p>
    <w:p>
      <w:pPr>
        <w:pStyle w:val="Textoindependiente"/>
      </w:pPr>
      <w:r>
        <w:t xml:space="preserve">Second row 5.0 Here’s another one. Note</w:t>
      </w:r>
      <w:r>
        <w:t xml:space="preserve"> </w:t>
      </w:r>
      <w:r>
        <w:t xml:space="preserve">the blank line between</w:t>
      </w:r>
      <w:r>
        <w:t xml:space="preserve"> </w:t>
      </w:r>
      <w:r>
        <w:t xml:space="preserve">rows.</w:t>
      </w:r>
      <w:r>
        <w:t xml:space="preserve"> </w:t>
      </w:r>
      <w:r>
        <w:t xml:space="preserve">————————————————————-</w:t>
      </w: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2023-01-17T16:46:16Z</dcterms:created>
  <dcterms:modified xsi:type="dcterms:W3CDTF">2023-01-17T16:46:16Z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