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Manuscript</w:t>
      </w:r>
      <w:r>
        <w:t xml:space="preserve"> </w:t>
      </w:r>
      <w:r>
        <w:t xml:space="preserve">Title</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7"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6"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Objetivos del Diagnóstico SOA y Productos, Áreas, y Procesos FNA Objeto del Diagnóstico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4">
              <w:r>
                <w:rPr>
                  <w:rStyle w:val="Hipervnculo"/>
                </w:rPr>
                <w:t xml:space="preserve">N001d. Ejecución Plan de Trabajo SOA</w:t>
              </w:r>
            </w:hyperlink>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End w:id="26"/>
    <w:bookmarkEnd w:id="27"/>
    <w:bookmarkStart w:id="29" w:name="vista-de-contexto-soa-fna-181-2020"/>
    <w:p>
      <w:pPr>
        <w:pStyle w:val="Ttulo1"/>
      </w:pPr>
      <w:r>
        <w:t xml:space="preserve">Vista de Contexto SOA FNA (181-2020)</w:t>
      </w:r>
    </w:p>
    <w:bookmarkStart w:id="28" w:name="X18861a53d2f17729ec0fdcae7cd78e296fb8c1a"/>
    <w:p>
      <w:pPr>
        <w:pStyle w:val="Ttulo2"/>
      </w:pPr>
      <w:r>
        <w:t xml:space="preserve">Objetivos del diagnóstico SOA y Productos, Áreas Procesos FNA Objeto del Diagnóstico</w:t>
      </w:r>
    </w:p>
    <w:p>
      <w:pPr>
        <w:pStyle w:val="FirstParagraph"/>
      </w:pPr>
      <w:r>
        <w:t xml:space="preserve">La vista de contexto presenta una visión de la empresa ajustada a aquellas partes que entran en el alcance de este proyecto, 181-2020, diagnóstico SOA FNA.</w:t>
      </w:r>
    </w:p>
    <w:p>
      <w:pPr>
        <w:pStyle w:val="Textoindependiente"/>
      </w:pPr>
    </w:p>
    <w:p>
      <w:pPr>
        <w:pStyle w:val="Textoindependiente"/>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Textoindependiente"/>
      </w:pPr>
    </w:p>
    <w:bookmarkEnd w:id="28"/>
    <w:bookmarkEnd w:id="29"/>
    <w:bookmarkStart w:id="36" w:name="Xed2c28570c147e672d7c628c4cc8118e1aa5374"/>
    <w:p>
      <w:pPr>
        <w:pStyle w:val="Ttulo1"/>
      </w:pPr>
      <w:r>
        <w:t xml:space="preserve">Detalles de la Vista de Contexto SOA FNA (181-2020)</w:t>
      </w:r>
    </w:p>
    <w:bookmarkStart w:id="30" w:name="X47d1aa801a506f166c83dc31d417e7c096ebfb4"/>
    <w:p>
      <w:pPr>
        <w:pStyle w:val="Ttulo2"/>
      </w:pPr>
      <w:r>
        <w:t xml:space="preserve">Objetivos de la Consultoría: Problemática y Diagnósticos</w:t>
      </w:r>
    </w:p>
    <w:p>
      <w:pPr>
        <w:pStyle w:val="FirstParagraph"/>
      </w:pPr>
      <w:r>
        <w:t xml:space="preserve">La consultoría SOA (proyecto 181-2020) tratará tres problemáticas importantes de Fondo Nacional del Ahorro (FNA):</w:t>
      </w:r>
    </w:p>
    <w:p>
      <w:pPr>
        <w:numPr>
          <w:ilvl w:val="0"/>
          <w:numId w:val="1009"/>
        </w:numPr>
        <w:pStyle w:val="Compact"/>
      </w:pPr>
      <w:r>
        <w:t xml:space="preserve">OBJ1. Independencia de proveedor</w:t>
      </w:r>
    </w:p>
    <w:p>
      <w:pPr>
        <w:numPr>
          <w:ilvl w:val="0"/>
          <w:numId w:val="1009"/>
        </w:numPr>
        <w:pStyle w:val="Compact"/>
      </w:pPr>
      <w:r>
        <w:t xml:space="preserve">OBJ2. Flexibilidad y tiempo de mercado</w:t>
      </w:r>
    </w:p>
    <w:p>
      <w:pPr>
        <w:numPr>
          <w:ilvl w:val="0"/>
          <w:numId w:val="1009"/>
        </w:numPr>
        <w:pStyle w:val="Compact"/>
      </w:pPr>
      <w:r>
        <w:t xml:space="preserve">OBJ3. Fortaleza SOA de las aplicaciones del FNA</w:t>
      </w:r>
    </w:p>
    <w:p>
      <w:pPr>
        <w:pStyle w:val="FirstParagraph"/>
      </w:pPr>
      <w:r>
        <w:rPr>
          <w:bCs/>
          <w:b/>
        </w:rPr>
        <w:t xml:space="preserve">Nota</w:t>
      </w:r>
      <w:r>
        <w:t xml:space="preserve">: Gobierno SOA del FNA lo establecemos como uno de los resultados (un producto de trabajo) que entregaremos al FNA, no como un objeto de la consultoría.</w:t>
      </w:r>
    </w:p>
    <w:p>
      <w:pPr>
        <w:pStyle w:val="Textoindependiente"/>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Textoindependiente"/>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Ttulo2"/>
      </w:pPr>
      <w:r>
        <w:t xml:space="preserve">Productos del FNA Objetos del Diagnóstico</w:t>
      </w:r>
    </w:p>
    <w:p>
      <w:pPr>
        <w:pStyle w:val="FirstParagraph"/>
      </w:pPr>
      <w:r>
        <w:t xml:space="preserve">Esta consultoría considera como entradas para los diagnósticos a los productos de negocio del FNA siguientes:</w:t>
      </w:r>
    </w:p>
    <w:p>
      <w:pPr>
        <w:numPr>
          <w:ilvl w:val="0"/>
          <w:numId w:val="1010"/>
        </w:numPr>
        <w:pStyle w:val="Compact"/>
      </w:pPr>
      <w:r>
        <w:t xml:space="preserve">Cuenta AVC (ahorro voluntario)</w:t>
      </w:r>
    </w:p>
    <w:p>
      <w:pPr>
        <w:numPr>
          <w:ilvl w:val="0"/>
          <w:numId w:val="1010"/>
        </w:numPr>
        <w:pStyle w:val="Compact"/>
      </w:pPr>
      <w:r>
        <w:t xml:space="preserve">Cesantías</w:t>
      </w:r>
    </w:p>
    <w:p>
      <w:pPr>
        <w:numPr>
          <w:ilvl w:val="0"/>
          <w:numId w:val="1010"/>
        </w:numPr>
        <w:pStyle w:val="Compact"/>
      </w:pPr>
      <w:r>
        <w:t xml:space="preserve">Crédito</w:t>
      </w:r>
    </w:p>
    <w:p>
      <w:pPr>
        <w:numPr>
          <w:ilvl w:val="0"/>
          <w:numId w:val="1010"/>
        </w:numPr>
        <w:pStyle w:val="Compact"/>
      </w:pPr>
      <w:r>
        <w:t xml:space="preserve">Cartera</w:t>
      </w:r>
    </w:p>
    <w:p>
      <w:pPr>
        <w:pStyle w:val="FirstParagraph"/>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Ttulo2"/>
      </w:pPr>
      <w:r>
        <w:t xml:space="preserve">Áreas de Negocio del FNA Objetos del Diagnóstico</w:t>
      </w:r>
    </w:p>
    <w:p>
      <w:pPr>
        <w:pStyle w:val="FirstParagraph"/>
      </w:pPr>
      <w:r>
        <w:t xml:space="preserve">Con base a los productos de negocio de la FNA seleccionados, las áreas del FNA que competen a esta consultoría y a los objetivos de los diagnósticos son:</w:t>
      </w:r>
    </w:p>
    <w:p>
      <w:pPr>
        <w:numPr>
          <w:ilvl w:val="0"/>
          <w:numId w:val="1011"/>
        </w:numPr>
        <w:pStyle w:val="Compact"/>
      </w:pPr>
      <w:r>
        <w:t xml:space="preserve">Vicepresidencia de Crédito</w:t>
      </w:r>
    </w:p>
    <w:p>
      <w:pPr>
        <w:numPr>
          <w:ilvl w:val="0"/>
          <w:numId w:val="1011"/>
        </w:numPr>
        <w:pStyle w:val="Compact"/>
      </w:pPr>
      <w:r>
        <w:t xml:space="preserve">Vicepresidencia de Operaciones</w:t>
      </w:r>
    </w:p>
    <w:p>
      <w:pPr>
        <w:pStyle w:val="FirstParagraph"/>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Ttulo3"/>
      </w:pPr>
      <w:r>
        <w:t xml:space="preserve">Referencia</w:t>
      </w:r>
    </w:p>
    <w:p>
      <w:pPr>
        <w:pStyle w:val="FirstParagraph"/>
      </w:pPr>
    </w:p>
    <w:bookmarkEnd w:id="32"/>
    <w:bookmarkEnd w:id="33"/>
    <w:bookmarkStart w:id="35" w:name="Xe5340f4e4041b674d6db373a70536e57f4f5a80"/>
    <w:p>
      <w:pPr>
        <w:pStyle w:val="Ttulo2"/>
      </w:pPr>
      <w:r>
        <w:t xml:space="preserve">Procesos de Negocio Objetos del Diagnóstico</w:t>
      </w:r>
    </w:p>
    <w:p>
      <w:pPr>
        <w:pStyle w:val="FirstParagraph"/>
      </w:pPr>
      <w:r>
        <w:t xml:space="preserve">Los procesos de negocio seleccionados por este proyecto SOA son aquellos relacionados con los productos de negocio objetos de esta consultoría, por ejemplo,</w:t>
      </w:r>
    </w:p>
    <w:p>
      <w:pPr>
        <w:numPr>
          <w:ilvl w:val="0"/>
          <w:numId w:val="1012"/>
        </w:numPr>
        <w:pStyle w:val="Compact"/>
      </w:pPr>
      <w:r>
        <w:t xml:space="preserve">PROC1. Administración de Cuentas y Pago de Cesantías (CSNT)</w:t>
      </w:r>
    </w:p>
    <w:p>
      <w:pPr>
        <w:numPr>
          <w:ilvl w:val="0"/>
          <w:numId w:val="1012"/>
        </w:numPr>
        <w:pStyle w:val="Compact"/>
      </w:pPr>
      <w:r>
        <w:t xml:space="preserve">PROC2. Gestión Crédito</w:t>
      </w:r>
    </w:p>
    <w:p>
      <w:pPr>
        <w:numPr>
          <w:ilvl w:val="1"/>
          <w:numId w:val="1013"/>
        </w:numPr>
        <w:pStyle w:val="Compact"/>
      </w:pPr>
      <w:r>
        <w:t xml:space="preserve">PROC2.1. Gestión Crédito Educativo</w:t>
      </w:r>
    </w:p>
    <w:p>
      <w:pPr>
        <w:numPr>
          <w:ilvl w:val="1"/>
          <w:numId w:val="1013"/>
        </w:numPr>
        <w:pStyle w:val="Compact"/>
      </w:pPr>
      <w:r>
        <w:t xml:space="preserve">PROC2.2. Gestión Crédito Hipotecario</w:t>
      </w:r>
    </w:p>
    <w:p>
      <w:pPr>
        <w:numPr>
          <w:ilvl w:val="1"/>
          <w:numId w:val="1013"/>
        </w:numPr>
        <w:pStyle w:val="Compact"/>
      </w:pPr>
      <w:r>
        <w:t xml:space="preserve">PROC2.3. Gestión Crédito Constructor</w:t>
      </w:r>
    </w:p>
    <w:p>
      <w:pPr>
        <w:numPr>
          <w:ilvl w:val="0"/>
          <w:numId w:val="1012"/>
        </w:numPr>
        <w:pStyle w:val="Compact"/>
      </w:pPr>
      <w:r>
        <w:t xml:space="preserve">PROC3. Facturación y Cartera</w:t>
      </w:r>
    </w:p>
    <w:bookmarkStart w:id="34" w:name="referencia-1"/>
    <w:p>
      <w:pPr>
        <w:pStyle w:val="Ttulo3"/>
      </w:pPr>
      <w:r>
        <w:t xml:space="preserve">Referencia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bookmarkEnd w:id="34"/>
    <w:bookmarkEnd w:id="35"/>
    <w:bookmarkEnd w:id="36"/>
    <w:bookmarkStart w:id="44"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14"/>
        </w:numPr>
        <w:pStyle w:val="Compact"/>
      </w:pPr>
      <w:hyperlink w:anchor="aporte-censatias-business-process">
        <w:r>
          <w:rPr>
            <w:rStyle w:val="Hipervnculo"/>
          </w:rPr>
          <w:t xml:space="preserve">Aporte Censatias (Business Process)</w:t>
        </w:r>
      </w:hyperlink>
    </w:p>
    <w:p>
      <w:pPr>
        <w:numPr>
          <w:ilvl w:val="0"/>
          <w:numId w:val="1014"/>
        </w:numPr>
        <w:pStyle w:val="Compact"/>
      </w:pPr>
      <w:hyperlink w:anchor="X4e68c4067c4cb4fefbc2569561a87d699eaf26d">
        <w:r>
          <w:rPr>
            <w:rStyle w:val="Hipervnculo"/>
          </w:rPr>
          <w:t xml:space="preserve">Administración de Cuentas y Pago (Business Process)</w:t>
        </w:r>
      </w:hyperlink>
    </w:p>
    <w:p>
      <w:pPr>
        <w:numPr>
          <w:ilvl w:val="0"/>
          <w:numId w:val="1014"/>
        </w:numPr>
        <w:pStyle w:val="Compact"/>
      </w:pPr>
      <w:hyperlink w:anchor="gestión-comercial-business-process">
        <w:r>
          <w:rPr>
            <w:rStyle w:val="Hipervnculo"/>
          </w:rPr>
          <w:t xml:space="preserve">Gestión Comercial (Business Process)</w:t>
        </w:r>
      </w:hyperlink>
    </w:p>
    <w:p>
      <w:pPr>
        <w:numPr>
          <w:ilvl w:val="0"/>
          <w:numId w:val="1014"/>
        </w:numPr>
        <w:pStyle w:val="Compact"/>
      </w:pPr>
      <w:hyperlink w:anchor="gestión-de-credito-business-process">
        <w:r>
          <w:rPr>
            <w:rStyle w:val="Hipervnculo"/>
          </w:rPr>
          <w:t xml:space="preserve">Gestión de Credito (Business Process)</w:t>
        </w:r>
      </w:hyperlink>
    </w:p>
    <w:p>
      <w:pPr>
        <w:numPr>
          <w:ilvl w:val="0"/>
          <w:numId w:val="1014"/>
        </w:numPr>
        <w:pStyle w:val="Compact"/>
      </w:pPr>
      <w:hyperlink w:anchor="educativo-business-process">
        <w:r>
          <w:rPr>
            <w:rStyle w:val="Hipervnculo"/>
          </w:rPr>
          <w:t xml:space="preserve">Educativo (Business Process)</w:t>
        </w:r>
      </w:hyperlink>
    </w:p>
    <w:p>
      <w:pPr>
        <w:numPr>
          <w:ilvl w:val="0"/>
          <w:numId w:val="1014"/>
        </w:numPr>
        <w:pStyle w:val="Compact"/>
      </w:pPr>
      <w:hyperlink w:anchor="procesos-misionales-business-process">
        <w:r>
          <w:rPr>
            <w:rStyle w:val="Hipervnculo"/>
          </w:rPr>
          <w:t xml:space="preserve">Procesos Misionales (Business Process)</w:t>
        </w:r>
      </w:hyperlink>
    </w:p>
    <w:p>
      <w:pPr>
        <w:numPr>
          <w:ilvl w:val="0"/>
          <w:numId w:val="1014"/>
        </w:numPr>
        <w:pStyle w:val="Compact"/>
      </w:pPr>
      <w:hyperlink w:anchor="hipotecario-business-process">
        <w:r>
          <w:rPr>
            <w:rStyle w:val="Hipervnculo"/>
          </w:rPr>
          <w:t xml:space="preserve">Hipotecario (Business Process)</w:t>
        </w:r>
      </w:hyperlink>
    </w:p>
    <w:p>
      <w:pPr>
        <w:numPr>
          <w:ilvl w:val="0"/>
          <w:numId w:val="1014"/>
        </w:numPr>
        <w:pStyle w:val="Compact"/>
      </w:pPr>
      <w:hyperlink w:anchor="cesantias-business-process">
        <w:r>
          <w:rPr>
            <w:rStyle w:val="Hipervnculo"/>
          </w:rPr>
          <w:t xml:space="preserve">Cesantias (Business Process)</w:t>
        </w:r>
      </w:hyperlink>
    </w:p>
    <w:p>
      <w:pPr>
        <w:numPr>
          <w:ilvl w:val="0"/>
          <w:numId w:val="1014"/>
        </w:numPr>
        <w:pStyle w:val="Compact"/>
      </w:pPr>
      <w:hyperlink w:anchor="desembolso-business-process">
        <w:r>
          <w:rPr>
            <w:rStyle w:val="Hipervnculo"/>
          </w:rPr>
          <w:t xml:space="preserve">Desembolso (Business Process)</w:t>
        </w:r>
      </w:hyperlink>
    </w:p>
    <w:p>
      <w:pPr>
        <w:numPr>
          <w:ilvl w:val="0"/>
          <w:numId w:val="1014"/>
        </w:numPr>
        <w:pStyle w:val="Compact"/>
      </w:pPr>
      <w:hyperlink w:anchor="facturación-y-cartera-business-process">
        <w:r>
          <w:rPr>
            <w:rStyle w:val="Hipervnculo"/>
          </w:rPr>
          <w:t xml:space="preserve">Facturación y Cartera (Business Process)</w:t>
        </w:r>
      </w:hyperlink>
    </w:p>
    <w:p>
      <w:pPr>
        <w:numPr>
          <w:ilvl w:val="0"/>
          <w:numId w:val="1014"/>
        </w:numPr>
        <w:pStyle w:val="Compact"/>
      </w:pPr>
      <w:hyperlink w:anchor="ahorro-voluntario-business-process">
        <w:r>
          <w:rPr>
            <w:rStyle w:val="Hipervnculo"/>
          </w:rPr>
          <w:t xml:space="preserve">Ahorro Voluntario (Business Process)</w:t>
        </w:r>
      </w:hyperlink>
    </w:p>
    <w:p>
      <w:pPr>
        <w:numPr>
          <w:ilvl w:val="0"/>
          <w:numId w:val="1014"/>
        </w:numPr>
        <w:pStyle w:val="Compact"/>
      </w:pPr>
      <w:hyperlink w:anchor="X67cd9ad52f43c417929a9d1a7b2aa82b79029f8">
        <w:r>
          <w:rPr>
            <w:rStyle w:val="Hipervnculo"/>
          </w:rPr>
          <w:t xml:space="preserve">Captación de Ahorro Voluntario (Business Process)</w:t>
        </w:r>
      </w:hyperlink>
    </w:p>
    <w:p>
      <w:pPr>
        <w:numPr>
          <w:ilvl w:val="0"/>
          <w:numId w:val="1014"/>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14"/>
        </w:numPr>
        <w:pStyle w:val="Compact"/>
      </w:pPr>
      <w:hyperlink w:anchor="X2a2dff4b0309f411b0c35aaba014fd46d5a75e4">
        <w:r>
          <w:rPr>
            <w:rStyle w:val="Hipervnculo"/>
          </w:rPr>
          <w:t xml:space="preserve">Aplicación Web - Gestión Traslado (Application Component)</w:t>
        </w:r>
      </w:hyperlink>
    </w:p>
    <w:p>
      <w:pPr>
        <w:numPr>
          <w:ilvl w:val="0"/>
          <w:numId w:val="1014"/>
        </w:numPr>
        <w:pStyle w:val="Compact"/>
      </w:pPr>
      <w:hyperlink w:anchor="cobis---cesantias-application-component">
        <w:r>
          <w:rPr>
            <w:rStyle w:val="Hipervnculo"/>
          </w:rPr>
          <w:t xml:space="preserve">COBIS - Cesantias (Application Component)</w:t>
        </w:r>
      </w:hyperlink>
    </w:p>
    <w:p>
      <w:pPr>
        <w:numPr>
          <w:ilvl w:val="0"/>
          <w:numId w:val="1014"/>
        </w:numPr>
        <w:pStyle w:val="Compact"/>
      </w:pPr>
      <w:hyperlink w:anchor="Xf135e283447ada7b7d45d7779aaba891856f368">
        <w:r>
          <w:rPr>
            <w:rStyle w:val="Hipervnculo"/>
          </w:rPr>
          <w:t xml:space="preserve">Aplicación Back - Bizagi Engine (Application Component)</w:t>
        </w:r>
      </w:hyperlink>
    </w:p>
    <w:p>
      <w:pPr>
        <w:numPr>
          <w:ilvl w:val="0"/>
          <w:numId w:val="1014"/>
        </w:numPr>
        <w:pStyle w:val="Compact"/>
      </w:pPr>
      <w:hyperlink w:anchor="Xbd767ed9df71bd06a876dc65a36c346fa981e9f">
        <w:r>
          <w:rPr>
            <w:rStyle w:val="Hipervnculo"/>
          </w:rPr>
          <w:t xml:space="preserve">Aplicación EJB - Credito Constructor (Application Component)</w:t>
        </w:r>
      </w:hyperlink>
    </w:p>
    <w:p>
      <w:pPr>
        <w:numPr>
          <w:ilvl w:val="0"/>
          <w:numId w:val="1014"/>
        </w:numPr>
        <w:pStyle w:val="Compact"/>
      </w:pPr>
      <w:hyperlink w:anchor="X7d65a7312cab17aec69bf0e31eb4376acaafa59">
        <w:r>
          <w:rPr>
            <w:rStyle w:val="Hipervnculo"/>
          </w:rPr>
          <w:t xml:space="preserve">Aplicación Web - Crédito Constructor (Application Component)</w:t>
        </w:r>
      </w:hyperlink>
    </w:p>
    <w:p>
      <w:pPr>
        <w:numPr>
          <w:ilvl w:val="0"/>
          <w:numId w:val="1014"/>
        </w:numPr>
        <w:pStyle w:val="Compact"/>
      </w:pPr>
      <w:hyperlink w:anchor="Xe7301570dfca50dcb332fbf994ea1010cab2805">
        <w:r>
          <w:rPr>
            <w:rStyle w:val="Hipervnculo"/>
          </w:rPr>
          <w:t xml:space="preserve">Aplicación Web - Scoring (Application Component)</w:t>
        </w:r>
      </w:hyperlink>
    </w:p>
    <w:p>
      <w:pPr>
        <w:numPr>
          <w:ilvl w:val="0"/>
          <w:numId w:val="1014"/>
        </w:numPr>
        <w:pStyle w:val="Compact"/>
      </w:pPr>
      <w:hyperlink w:anchor="bizagi-application-component">
        <w:r>
          <w:rPr>
            <w:rStyle w:val="Hipervnculo"/>
          </w:rPr>
          <w:t xml:space="preserve">BIZAGI (Application Component)</w:t>
        </w:r>
      </w:hyperlink>
    </w:p>
    <w:p>
      <w:pPr>
        <w:numPr>
          <w:ilvl w:val="0"/>
          <w:numId w:val="1014"/>
        </w:numPr>
        <w:pStyle w:val="Compact"/>
      </w:pPr>
      <w:hyperlink w:anchor="cobis---crédito-application-component">
        <w:r>
          <w:rPr>
            <w:rStyle w:val="Hipervnculo"/>
          </w:rPr>
          <w:t xml:space="preserve">COBIS - Crédito (Application Component)</w:t>
        </w:r>
      </w:hyperlink>
    </w:p>
    <w:p>
      <w:pPr>
        <w:numPr>
          <w:ilvl w:val="0"/>
          <w:numId w:val="1014"/>
        </w:numPr>
        <w:pStyle w:val="Compact"/>
      </w:pPr>
      <w:hyperlink w:anchor="servicios-score-technology-service">
        <w:r>
          <w:rPr>
            <w:rStyle w:val="Hipervnculo"/>
          </w:rPr>
          <w:t xml:space="preserve">Servicios Score (Technology Service)</w:t>
        </w:r>
      </w:hyperlink>
    </w:p>
    <w:p>
      <w:pPr>
        <w:numPr>
          <w:ilvl w:val="0"/>
          <w:numId w:val="1014"/>
        </w:numPr>
        <w:pStyle w:val="Compact"/>
      </w:pPr>
      <w:hyperlink w:anchor="cobis---cartera-application-component">
        <w:r>
          <w:rPr>
            <w:rStyle w:val="Hipervnculo"/>
          </w:rPr>
          <w:t xml:space="preserve">COBIS - Cartera (Application Component)</w:t>
        </w:r>
      </w:hyperlink>
    </w:p>
    <w:p>
      <w:pPr>
        <w:numPr>
          <w:ilvl w:val="0"/>
          <w:numId w:val="1014"/>
        </w:numPr>
        <w:pStyle w:val="Compact"/>
      </w:pPr>
      <w:hyperlink w:anchor="cobis---avc-application-component">
        <w:r>
          <w:rPr>
            <w:rStyle w:val="Hipervnculo"/>
          </w:rPr>
          <w:t xml:space="preserve">COBIS - AVC (Application Component)</w:t>
        </w:r>
      </w:hyperlink>
    </w:p>
    <w:p>
      <w:pPr>
        <w:numPr>
          <w:ilvl w:val="0"/>
          <w:numId w:val="1014"/>
        </w:numPr>
        <w:pStyle w:val="Compact"/>
      </w:pPr>
      <w:hyperlink w:anchor="Xba0f2e824ba04dfd0e08d8a351c972bf68ca2ff">
        <w:r>
          <w:rPr>
            <w:rStyle w:val="Hipervnculo"/>
          </w:rPr>
          <w:t xml:space="preserve">Servicios de Infraestructura (Technology Service)</w:t>
        </w:r>
      </w:hyperlink>
    </w:p>
    <w:p>
      <w:pPr>
        <w:numPr>
          <w:ilvl w:val="0"/>
          <w:numId w:val="1014"/>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39"/>
    <w:bookmarkStart w:id="42"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Textoindependiente"/>
      </w:pPr>
    </w:p>
    <w:p>
      <w:pPr>
        <w:pStyle w:val="Textoindependiente"/>
      </w:pPr>
      <w:hyperlink r:id="rId40">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Textoindependiente"/>
      </w:pPr>
    </w:p>
    <w:bookmarkEnd w:id="42"/>
    <w:bookmarkStart w:id="43"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p>
    <w:p>
      <w:pPr>
        <w:pStyle w:val="Textoindependiente"/>
      </w:pPr>
      <w:hyperlink r:id="rId40">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43"/>
    <w:bookmarkEnd w:id="44"/>
    <w:bookmarkStart w:id="47" w:name="catálogo-de-servicios-fna-blueprint"/>
    <w:p>
      <w:pPr>
        <w:pStyle w:val="Ttulo1"/>
      </w:pPr>
      <w:r>
        <w:t xml:space="preserve">Catálogo de Servicios FNA (blueprint)</w:t>
      </w:r>
    </w:p>
    <w:bookmarkStart w:id="45"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15"/>
        </w:numPr>
        <w:pStyle w:val="Compact"/>
      </w:pPr>
      <w:r>
        <w:t xml:space="preserve">Desarrollo de nuevos negocios</w:t>
      </w:r>
    </w:p>
    <w:p>
      <w:pPr>
        <w:numPr>
          <w:ilvl w:val="0"/>
          <w:numId w:val="1015"/>
        </w:numPr>
        <w:pStyle w:val="Compact"/>
      </w:pPr>
      <w:r>
        <w:t xml:space="preserve">Gestión de Cliente</w:t>
      </w:r>
    </w:p>
    <w:p>
      <w:pPr>
        <w:numPr>
          <w:ilvl w:val="0"/>
          <w:numId w:val="1015"/>
        </w:numPr>
        <w:pStyle w:val="Compact"/>
      </w:pPr>
      <w:r>
        <w:t xml:space="preserve">Administración de Recursos y Negocio</w:t>
      </w:r>
    </w:p>
    <w:p>
      <w:pPr>
        <w:numPr>
          <w:ilvl w:val="0"/>
          <w:numId w:val="1015"/>
        </w:numPr>
        <w:pStyle w:val="Compact"/>
      </w:pPr>
      <w:r>
        <w:t xml:space="preserve">Entrega de Productos</w:t>
      </w:r>
    </w:p>
    <w:p>
      <w:pPr>
        <w:numPr>
          <w:ilvl w:val="0"/>
          <w:numId w:val="1015"/>
        </w:numPr>
        <w:pStyle w:val="Compact"/>
      </w:pPr>
      <w:r>
        <w:t xml:space="preserve">Servicios de Cuentas</w:t>
      </w:r>
    </w:p>
    <w:p>
      <w:pPr>
        <w:numPr>
          <w:ilvl w:val="0"/>
          <w:numId w:val="1015"/>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2023-01-10T18:59:14Z</dcterms:created>
  <dcterms:modified xsi:type="dcterms:W3CDTF">2023-01-10T18:59:14Z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