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9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Tipos de Servicios y Distribución de Servicios SOA por Tipo</w:t>
            </w:r>
          </w:p>
        </w:tc>
      </w:tr>
      <w:tr>
        <w:tc>
          <w:tcPr/>
          <w:p>
            <w:pPr>
              <w:pStyle w:val="Compact"/>
              <w:jc w:val="left"/>
            </w:pPr>
            <w:r>
              <w:t xml:space="preserve">Palabras clave</w:t>
            </w:r>
          </w:p>
        </w:tc>
        <w:tc>
          <w:tcPr/>
          <w:p>
            <w:pPr>
              <w:pStyle w:val="Compact"/>
              <w:jc w:val="left"/>
            </w:pPr>
            <w:r>
              <w:t xml:space="preserve">SOA, Servicios, Distribución de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57"/>
    <w:bookmarkStart w:id="59" w:name="Xa1381753908cde6bd5f59574231a4e168e92d67"/>
    <w:p>
      <w:pPr>
        <w:pStyle w:val="Ttulo2"/>
      </w:pPr>
      <w:r>
        <w:t xml:space="preserve">Catalogación de los Tipos de Servicios del Portafolio SOA, FNA</w:t>
      </w:r>
    </w:p>
    <w:p>
      <w:pPr>
        <w:pStyle w:val="FirstParagraph"/>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Textoindependiente"/>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0">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p>
    <w:p>
      <w:pPr>
        <w:pStyle w:val="SourceCode"/>
      </w:pPr>
      <w:r>
        <w:rPr>
          <w:rStyle w:val="VerbatimChar"/>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FirstParagraph"/>
      </w:pPr>
    </w:p>
    <w:p>
      <w:pPr>
        <w:pStyle w:val="Textoindependiente"/>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Textoindependiente"/>
      </w:pPr>
    </w:p>
    <w:bookmarkStart w:id="58" w:name="X1790c05538986f5653ba9a958df1cfb55d66eee"/>
    <w:p>
      <w:pPr>
        <w:pStyle w:val="Ttulo3"/>
      </w:pPr>
      <w:r>
        <w:t xml:space="preserve">Lista de Detalle de los Servicios de Proceso</w:t>
      </w:r>
    </w:p>
    <w:p>
      <w:pPr>
        <w:pStyle w:val="FirstParagraph"/>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Compact"/>
              <w:jc w:val="left"/>
            </w:pPr>
            <w:r>
              <w:rPr>
                <w:bCs/>
                <w:b/>
              </w:rPr>
              <w:t xml:space="preserve">Nombre Servicio</w:t>
            </w:r>
          </w:p>
        </w:tc>
        <w:tc>
          <w:tcPr/>
          <w:p>
            <w:pPr>
              <w:pStyle w:val="Compact"/>
              <w:jc w:val="left"/>
            </w:pPr>
            <w:r>
              <w:rPr>
                <w:bCs/>
                <w:b/>
              </w:rPr>
              <w:t xml:space="preserve">Proveedor</w:t>
            </w:r>
          </w:p>
        </w:tc>
        <w:tc>
          <w:tcPr/>
          <w:p>
            <w:pPr>
              <w:pStyle w:val="Compact"/>
              <w:jc w:val="left"/>
            </w:pPr>
            <w:r>
              <w:rPr>
                <w:bCs/>
                <w:b/>
              </w:rPr>
              <w:t xml:space="preserve">Consumidor</w:t>
            </w:r>
          </w:p>
        </w:tc>
        <w:tc>
          <w:tcPr/>
          <w:p>
            <w:pPr>
              <w:pStyle w:val="Compact"/>
              <w:jc w:val="left"/>
            </w:pPr>
            <w:r>
              <w:rPr>
                <w:bCs/>
                <w:b/>
              </w:rPr>
              <w:t xml:space="preserve">Tipo Servicio</w:t>
            </w:r>
          </w:p>
        </w:tc>
      </w:tr>
      <w:tr>
        <w:tc>
          <w:tcPr/>
          <w:p>
            <w:pPr>
              <w:pStyle w:val="Compact"/>
              <w:jc w:val="left"/>
            </w:pPr>
            <w:r>
              <w:t xml:space="preserve">VS_ESB_2.0.0_Credito_RecuperarTramiteSolicitudes</w:t>
            </w:r>
          </w:p>
        </w:tc>
        <w:tc>
          <w:tcPr/>
          <w:p>
            <w:pPr>
              <w:pStyle w:val="Compact"/>
              <w:jc w:val="left"/>
            </w:pPr>
            <w:r>
              <w:t xml:space="preserve">COBIS AS058</w:t>
            </w:r>
          </w:p>
        </w:tc>
        <w:tc>
          <w:tcPr/>
          <w:p>
            <w:pPr>
              <w:pStyle w:val="Compact"/>
              <w:jc w:val="left"/>
            </w:pPr>
            <w:r>
              <w:t xml:space="preserve">COBRANZA</w:t>
            </w:r>
          </w:p>
        </w:tc>
        <w:tc>
          <w:tcPr/>
          <w:p>
            <w:pPr>
              <w:pStyle w:val="Compact"/>
              <w:jc w:val="left"/>
            </w:pPr>
            <w:r>
              <w:t xml:space="preserve">Servicio Negocio</w:t>
            </w:r>
          </w:p>
        </w:tc>
      </w:tr>
      <w:tr>
        <w:tc>
          <w:tcPr/>
          <w:p>
            <w:pPr>
              <w:pStyle w:val="Compact"/>
              <w:jc w:val="left"/>
            </w:pPr>
            <w:r>
              <w:t xml:space="preserve">VS-ESB-1.3.0-Cesantias-CrearSolicitudRetiro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VS-ESB-1.1.0-CuentaAVC-CrearSolicitudRetiro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VS-ESB-1.0.0-CuentaAVC-ConsultarScoring</w:t>
            </w:r>
          </w:p>
        </w:tc>
        <w:tc>
          <w:tcPr/>
          <w:p>
            <w:pPr>
              <w:pStyle w:val="Compact"/>
              <w:jc w:val="left"/>
            </w:pPr>
            <w:r>
              <w:t xml:space="preserve">Cobis</w:t>
            </w:r>
          </w:p>
        </w:tc>
        <w:tc>
          <w:tcPr/>
          <w:p>
            <w:pPr>
              <w:pStyle w:val="Compact"/>
              <w:jc w:val="left"/>
            </w:pPr>
            <w:r>
              <w:t xml:space="preserve">Aplicaciones FNA</w:t>
            </w:r>
          </w:p>
        </w:tc>
        <w:tc>
          <w:tcPr/>
          <w:p>
            <w:pPr>
              <w:pStyle w:val="Compact"/>
              <w:jc w:val="left"/>
            </w:pPr>
            <w:r>
              <w:t xml:space="preserve">Servicio Negocio</w:t>
            </w:r>
          </w:p>
        </w:tc>
      </w:tr>
      <w:tr>
        <w:tc>
          <w:tcPr/>
          <w:p>
            <w:pPr>
              <w:pStyle w:val="Compact"/>
              <w:jc w:val="left"/>
            </w:pPr>
            <w:r>
              <w:t xml:space="preserve">VS_ESB_1.0.0_CuentaAVC_GestionCuentaAVC</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VS_ESB_1.0.0_Credito_RechazarTramiteCredito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VS_ESB_1.0.0_Credito_GenerarCertificadoService</w:t>
            </w:r>
          </w:p>
        </w:tc>
        <w:tc>
          <w:tcPr/>
          <w:p>
            <w:pPr>
              <w:pStyle w:val="Compact"/>
              <w:jc w:val="left"/>
            </w:pPr>
            <w:r>
              <w:t xml:space="preserve">Cobis</w:t>
            </w:r>
          </w:p>
        </w:tc>
        <w:tc>
          <w:tcPr/>
          <w:p>
            <w:pPr>
              <w:pStyle w:val="Compact"/>
              <w:jc w:val="left"/>
            </w:pPr>
            <w:r>
              <w:t xml:space="preserve">FONDO EN LINEA</w:t>
            </w:r>
          </w:p>
        </w:tc>
        <w:tc>
          <w:tcPr/>
          <w:p>
            <w:pPr>
              <w:pStyle w:val="Compact"/>
              <w:jc w:val="left"/>
            </w:pPr>
            <w:r>
              <w:t xml:space="preserve">Servicio Negocio</w:t>
            </w:r>
          </w:p>
        </w:tc>
      </w:tr>
      <w:tr>
        <w:tc>
          <w:tcPr/>
          <w:p>
            <w:pPr>
              <w:pStyle w:val="Compact"/>
              <w:jc w:val="left"/>
            </w:pPr>
            <w:r>
              <w:t xml:space="preserve">VS_ESB_1.0.0_Credito_EnrutarTramiteCredito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VS_ESB_1.0.0_Credito_AsignarEstacionTramiteCredito</w:t>
            </w:r>
          </w:p>
        </w:tc>
        <w:tc>
          <w:tcPr/>
          <w:p>
            <w:pPr>
              <w:pStyle w:val="Compact"/>
              <w:jc w:val="left"/>
            </w:pPr>
            <w:r>
              <w:t xml:space="preserve">Cobis</w:t>
            </w:r>
          </w:p>
        </w:tc>
        <w:tc>
          <w:tcPr/>
          <w:p>
            <w:pPr>
              <w:pStyle w:val="Compact"/>
              <w:jc w:val="left"/>
            </w:pPr>
            <w:r>
              <w:t xml:space="preserve">ASESOR FNA</w:t>
            </w:r>
          </w:p>
        </w:tc>
        <w:tc>
          <w:tcPr/>
          <w:p>
            <w:pPr>
              <w:pStyle w:val="Compact"/>
              <w:jc w:val="left"/>
            </w:pPr>
            <w:r>
              <w:t xml:space="preserve">Servicio Negocio</w:t>
            </w:r>
          </w:p>
        </w:tc>
      </w:tr>
      <w:tr>
        <w:tc>
          <w:tcPr/>
          <w:p>
            <w:pPr>
              <w:pStyle w:val="Compact"/>
              <w:jc w:val="left"/>
            </w:pPr>
            <w:r>
              <w:t xml:space="preserve">VS_ESB_1.0.0_Cesantias_CrearSolicitudRetiro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VS-ESB-1.0.0-Credito-NotificarEstadoDesembolso</w:t>
            </w:r>
          </w:p>
        </w:tc>
        <w:tc>
          <w:tcPr/>
          <w:p>
            <w:pPr>
              <w:pStyle w:val="Compact"/>
              <w:jc w:val="left"/>
            </w:pPr>
            <w:r>
              <w:t xml:space="preserve">BIZAGI</w:t>
            </w:r>
          </w:p>
        </w:tc>
        <w:tc>
          <w:tcPr/>
          <w:p>
            <w:pPr>
              <w:pStyle w:val="Compact"/>
              <w:jc w:val="left"/>
            </w:pPr>
            <w:r>
              <w:t xml:space="preserve">COBIS</w:t>
            </w:r>
          </w:p>
        </w:tc>
        <w:tc>
          <w:tcPr/>
          <w:p>
            <w:pPr>
              <w:pStyle w:val="Compact"/>
              <w:jc w:val="left"/>
            </w:pPr>
            <w:r>
              <w:t xml:space="preserve">Servicio Negocio</w:t>
            </w:r>
          </w:p>
        </w:tc>
      </w:tr>
      <w:tr>
        <w:tc>
          <w:tcPr/>
          <w:p>
            <w:pPr>
              <w:pStyle w:val="Compact"/>
              <w:jc w:val="left"/>
            </w:pPr>
            <w:r>
              <w:t xml:space="preserve">VS_ESB_1.0.0_CuadroVentas_CrearSolicitud</w:t>
            </w:r>
          </w:p>
        </w:tc>
        <w:tc>
          <w:tcPr/>
          <w:p>
            <w:pPr>
              <w:pStyle w:val="Compact"/>
              <w:jc w:val="left"/>
            </w:pPr>
            <w:r>
              <w:t xml:space="preserve">ADMINFO</w:t>
            </w:r>
          </w:p>
        </w:tc>
        <w:tc>
          <w:tcPr/>
          <w:p>
            <w:pPr>
              <w:pStyle w:val="Compact"/>
              <w:jc w:val="left"/>
            </w:pPr>
            <w:r>
              <w:t xml:space="preserve">ATENCIÓN AL CLIENTE</w:t>
            </w:r>
          </w:p>
        </w:tc>
        <w:tc>
          <w:tcPr/>
          <w:p>
            <w:pPr>
              <w:pStyle w:val="Compact"/>
              <w:jc w:val="left"/>
            </w:pPr>
            <w:r>
              <w:t xml:space="preserve">Servicio Negocio</w:t>
            </w:r>
          </w:p>
        </w:tc>
      </w:tr>
      <w:tr>
        <w:tc>
          <w:tcPr/>
          <w:p>
            <w:pPr>
              <w:pStyle w:val="Compact"/>
              <w:jc w:val="left"/>
            </w:pPr>
            <w:r>
              <w:t xml:space="preserve">VS_ESB_1.0.0_CuentaAVC_CalcularPuntajeService</w:t>
            </w:r>
          </w:p>
        </w:tc>
        <w:tc>
          <w:tcPr/>
          <w:p>
            <w:pPr>
              <w:pStyle w:val="Compact"/>
            </w:pPr>
          </w:p>
        </w:tc>
        <w:tc>
          <w:tcPr/>
          <w:p>
            <w:pPr>
              <w:pStyle w:val="Compact"/>
            </w:pPr>
          </w:p>
        </w:tc>
        <w:tc>
          <w:tcPr/>
          <w:p>
            <w:pPr>
              <w:pStyle w:val="Compact"/>
              <w:jc w:val="left"/>
            </w:pPr>
            <w:r>
              <w:t xml:space="preserve">Servicio Negocio</w:t>
            </w:r>
          </w:p>
        </w:tc>
      </w:tr>
      <w:tr>
        <w:tc>
          <w:tcPr/>
          <w:p>
            <w:pPr>
              <w:pStyle w:val="Compact"/>
              <w:jc w:val="left"/>
            </w:pPr>
            <w:r>
              <w:t xml:space="preserve">VS_ESB_1.0.0_Credito_InformarCambioEstadoEtapaCobroJuridico</w:t>
            </w:r>
          </w:p>
        </w:tc>
        <w:tc>
          <w:tcPr/>
          <w:p>
            <w:pPr>
              <w:pStyle w:val="Compact"/>
            </w:pPr>
          </w:p>
        </w:tc>
        <w:tc>
          <w:tcPr/>
          <w:p>
            <w:pPr>
              <w:pStyle w:val="Compact"/>
            </w:pPr>
          </w:p>
        </w:tc>
        <w:tc>
          <w:tcPr/>
          <w:p>
            <w:pPr>
              <w:pStyle w:val="Compact"/>
              <w:jc w:val="left"/>
            </w:pPr>
            <w:r>
              <w:t xml:space="preserve">Servicio Negocio</w:t>
            </w:r>
          </w:p>
        </w:tc>
      </w:tr>
    </w:tbl>
    <w:p>
      <w:pPr>
        <w:pStyle w:val="Textoindependiente"/>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Compact"/>
              <w:jc w:val="left"/>
            </w:pPr>
            <w:r>
              <w:t xml:space="preserve">Palabras clave</w:t>
            </w:r>
          </w:p>
        </w:tc>
        <w:tc>
          <w:tcPr/>
          <w:p>
            <w:pPr>
              <w:pStyle w:val="Compact"/>
              <w:jc w:val="left"/>
            </w:pPr>
            <w:r>
              <w:t xml:space="preserve">SOA, Servicios,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pPr>
          </w:p>
        </w:tc>
      </w:tr>
    </w:tbl>
    <w:p>
      <w:pPr>
        <w:pStyle w:val="Textoindependiente"/>
      </w:pPr>
    </w:p>
    <w:bookmarkEnd w:id="58"/>
    <w:bookmarkEnd w:id="59"/>
    <w:bookmarkStart w:id="61" w:name="X9715517bea40dc40451767edf26308fb5686eca"/>
    <w:p>
      <w:pPr>
        <w:pStyle w:val="Ttulo2"/>
      </w:pPr>
      <w:r>
        <w:t xml:space="preserve">Procesos del FNA relacionados con Servicios del FNA Objeto del Diagnóstico SOA</w:t>
      </w:r>
    </w:p>
    <w:p>
      <w:pPr>
        <w:pStyle w:val="FirstParagraph"/>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realidad probable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Textoindependiente"/>
      </w:pPr>
      <w:r>
        <w:t xml:space="preserve">Imagen.</w:t>
      </w:r>
    </w:p>
    <w:p>
      <w:pPr>
        <w:pStyle w:val="Textoindependiente"/>
      </w:pPr>
    </w:p>
    <w:p>
      <w:pPr>
        <w:pStyle w:val="Textoindependiente"/>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p>
      <w:pPr>
        <w:pStyle w:val="Textoindependiente"/>
      </w:pPr>
      <w:hyperlink r:id="rId40">
        <w:r>
          <w:rPr>
            <w:rStyle w:val="Hipervnculo"/>
          </w:rPr>
          <w:t xml:space="preserve">Tabla.</w:t>
        </w:r>
      </w:hyperlink>
      <w:r>
        <w:t xml:space="preserve"> </w:t>
      </w:r>
      <w:r>
        <w:t xml:space="preserve">Procesos del FNA con mayor cantidad de relaciones a aplicaciones.</w:t>
      </w:r>
    </w:p>
    <w:p>
      <w:pPr>
        <w:pStyle w:val="Textoindependiente"/>
      </w:pPr>
      <w:r>
        <w:rPr>
          <w:iCs/>
          <w:i/>
        </w:rPr>
        <w:t xml:space="preserve">Fuente: InventarioAplicacionesFNA.xlsx</w:t>
      </w:r>
    </w:p>
    <w:p>
      <w:pPr>
        <w:pStyle w:val="Textoindependiente"/>
      </w:pPr>
    </w:p>
    <w:p>
      <w:pPr>
        <w:pStyle w:val="Textoindependiente"/>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Proceso</w:t>
            </w:r>
          </w:p>
        </w:tc>
        <w:tc>
          <w:tcPr/>
          <w:p>
            <w:pPr>
              <w:pStyle w:val="Compact"/>
              <w:jc w:val="left"/>
            </w:pPr>
            <w:r>
              <w:rPr>
                <w:bCs/>
                <w:b/>
              </w:rPr>
              <w:t xml:space="preserve">Aplicación</w:t>
            </w:r>
          </w:p>
        </w:tc>
        <w:tc>
          <w:tcPr/>
          <w:p>
            <w:pPr>
              <w:pStyle w:val="Compact"/>
              <w:jc w:val="left"/>
            </w:pPr>
            <w:r>
              <w:rPr>
                <w:bCs/>
                <w:b/>
              </w:rPr>
              <w:t xml:space="preserve">Canal</w:t>
            </w:r>
          </w:p>
        </w:tc>
      </w:tr>
      <w:tr>
        <w:tc>
          <w:tcPr/>
          <w:p>
            <w:pPr>
              <w:pStyle w:val="Compact"/>
              <w:jc w:val="left"/>
            </w:pPr>
            <w:r>
              <w:t xml:space="preserve">Facturación y Cartera</w:t>
            </w:r>
          </w:p>
        </w:tc>
        <w:tc>
          <w:tcPr/>
          <w:p>
            <w:pPr>
              <w:pStyle w:val="Compact"/>
              <w:jc w:val="left"/>
            </w:pPr>
            <w:r>
              <w:t xml:space="preserve">Abogados Externos</w:t>
            </w:r>
          </w:p>
        </w:tc>
        <w:tc>
          <w:tcPr/>
          <w:p>
            <w:pPr>
              <w:pStyle w:val="Compact"/>
              <w:jc w:val="left"/>
            </w:pPr>
            <w:r>
              <w:t xml:space="preserve">Internet</w:t>
            </w:r>
          </w:p>
        </w:tc>
      </w:tr>
      <w:tr>
        <w:tc>
          <w:tcPr/>
          <w:p>
            <w:pPr>
              <w:pStyle w:val="Compact"/>
              <w:jc w:val="left"/>
            </w:pPr>
            <w:r>
              <w:t xml:space="preserve">Facturación y Cartera</w:t>
            </w:r>
          </w:p>
        </w:tc>
        <w:tc>
          <w:tcPr/>
          <w:p>
            <w:pPr>
              <w:pStyle w:val="Compact"/>
              <w:jc w:val="left"/>
            </w:pPr>
            <w:r>
              <w:t xml:space="preserve">Adminfo cobranza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Adminfo crédito</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ASOCAJAS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Bogotá</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Occidente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Sudameris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Bancolombia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Cadena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Colpatria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Davivienda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Helm</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Aportes En Línea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Asopagos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Enlace Operativo</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Mi Planilla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Simple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SOI</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SuRed</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COBIS Cartera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COBIS Garantías</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Contingencia Banco de la Republica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Ecollect/Avisor/PSE</w:t>
            </w:r>
          </w:p>
        </w:tc>
        <w:tc>
          <w:tcPr/>
          <w:p>
            <w:pPr>
              <w:pStyle w:val="Compact"/>
              <w:jc w:val="left"/>
            </w:pPr>
            <w:r>
              <w:t xml:space="preserve">Internet</w:t>
            </w:r>
          </w:p>
        </w:tc>
      </w:tr>
    </w:tbl>
    <w:p>
      <w:pPr>
        <w:pStyle w:val="Textoindependiente"/>
      </w:pPr>
      <w:hyperlink r:id="rId40">
        <w:r>
          <w:rPr>
            <w:rStyle w:val="Hipervnculo"/>
          </w:rPr>
          <w:t xml:space="preserve">Tabla.</w:t>
        </w:r>
      </w:hyperlink>
      <w:r>
        <w:t xml:space="preserve"> </w:t>
      </w:r>
      <w:r>
        <w:t xml:space="preserve">Relaciones del proceso Facturación y Cartera del FNA.</w:t>
      </w:r>
    </w:p>
    <w:p>
      <w:pPr>
        <w:pStyle w:val="Textoindependiente"/>
      </w:pPr>
      <w:r>
        <w:rPr>
          <w:iCs/>
          <w:i/>
        </w:rPr>
        <w:t xml:space="preserve">Fuente: InventarioAplicacionesFNA.xlsx</w:t>
      </w:r>
    </w:p>
    <w:p>
      <w:pPr>
        <w:pStyle w:val="Textoindependiente"/>
      </w:pPr>
    </w:p>
    <w:bookmarkStart w:id="60" w:name="atención-2"/>
    <w:p>
      <w:pPr>
        <w:pStyle w:val="Ttulo3"/>
      </w:pPr>
      <w:r>
        <w:t xml:space="preserve">Atención</w:t>
      </w:r>
    </w:p>
    <w:p>
      <w:pPr>
        <w:pStyle w:val="FirstParagraph"/>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w:t>
            </w:r>
          </w:p>
        </w:tc>
        <w:tc>
          <w:tcPr/>
          <w:p>
            <w:pPr>
              <w:pStyle w:val="Compact"/>
              <w:jc w:val="left"/>
            </w:pPr>
            <w:r>
              <w:rPr>
                <w:bCs/>
                <w:b/>
              </w:rPr>
              <w:t xml:space="preserve">Proceso</w:t>
            </w:r>
          </w:p>
        </w:tc>
      </w:tr>
      <w:tr>
        <w:tc>
          <w:tcPr/>
          <w:p>
            <w:pPr>
              <w:pStyle w:val="Compact"/>
              <w:jc w:val="left"/>
            </w:pPr>
            <w:r>
              <w:t xml:space="preserve">IDM</w:t>
            </w:r>
          </w:p>
        </w:tc>
        <w:tc>
          <w:tcPr/>
          <w:p>
            <w:pPr>
              <w:pStyle w:val="Compact"/>
              <w:jc w:val="left"/>
            </w:pPr>
            <w:r>
              <w:t xml:space="preserve">Sin proceso</w:t>
            </w:r>
          </w:p>
        </w:tc>
      </w:tr>
      <w:tr>
        <w:tc>
          <w:tcPr/>
          <w:p>
            <w:pPr>
              <w:pStyle w:val="Compact"/>
              <w:jc w:val="left"/>
            </w:pPr>
            <w:r>
              <w:t xml:space="preserve">FINAC</w:t>
            </w:r>
          </w:p>
        </w:tc>
        <w:tc>
          <w:tcPr/>
          <w:p>
            <w:pPr>
              <w:pStyle w:val="Compact"/>
              <w:jc w:val="left"/>
            </w:pPr>
            <w:r>
              <w:t xml:space="preserve">Sin proceso</w:t>
            </w:r>
          </w:p>
        </w:tc>
      </w:tr>
      <w:tr>
        <w:tc>
          <w:tcPr/>
          <w:p>
            <w:pPr>
              <w:pStyle w:val="Compact"/>
              <w:jc w:val="left"/>
            </w:pPr>
            <w:r>
              <w:t xml:space="preserve">GoAnyWhere</w:t>
            </w:r>
          </w:p>
        </w:tc>
        <w:tc>
          <w:tcPr/>
          <w:p>
            <w:pPr>
              <w:pStyle w:val="Compact"/>
              <w:jc w:val="left"/>
            </w:pPr>
            <w:r>
              <w:t xml:space="preserve">Sin proceso</w:t>
            </w:r>
          </w:p>
        </w:tc>
      </w:tr>
      <w:tr>
        <w:tc>
          <w:tcPr/>
          <w:p>
            <w:pPr>
              <w:pStyle w:val="Compact"/>
              <w:jc w:val="left"/>
            </w:pPr>
            <w:r>
              <w:t xml:space="preserve">ERP SAP</w:t>
            </w:r>
          </w:p>
        </w:tc>
        <w:tc>
          <w:tcPr/>
          <w:p>
            <w:pPr>
              <w:pStyle w:val="Compact"/>
              <w:jc w:val="left"/>
            </w:pPr>
            <w:r>
              <w:t xml:space="preserve">Sin proceso</w:t>
            </w:r>
          </w:p>
        </w:tc>
      </w:tr>
      <w:tr>
        <w:tc>
          <w:tcPr/>
          <w:p>
            <w:pPr>
              <w:pStyle w:val="Compact"/>
              <w:jc w:val="left"/>
            </w:pPr>
            <w:r>
              <w:t xml:space="preserve">ASOCAJAS</w:t>
            </w:r>
          </w:p>
        </w:tc>
        <w:tc>
          <w:tcPr/>
          <w:p>
            <w:pPr>
              <w:pStyle w:val="Compact"/>
              <w:jc w:val="left"/>
            </w:pPr>
            <w:r>
              <w:t xml:space="preserve">Sin proceso</w:t>
            </w:r>
          </w:p>
        </w:tc>
      </w:tr>
      <w:tr>
        <w:tc>
          <w:tcPr/>
          <w:p>
            <w:pPr>
              <w:pStyle w:val="Compact"/>
              <w:jc w:val="left"/>
            </w:pPr>
            <w:r>
              <w:t xml:space="preserve">WorkManager</w:t>
            </w:r>
          </w:p>
        </w:tc>
        <w:tc>
          <w:tcPr/>
          <w:p>
            <w:pPr>
              <w:pStyle w:val="Compact"/>
              <w:jc w:val="left"/>
            </w:pPr>
            <w:r>
              <w:t xml:space="preserve">Sin proceso</w:t>
            </w:r>
          </w:p>
        </w:tc>
      </w:tr>
      <w:tr>
        <w:tc>
          <w:tcPr/>
          <w:p>
            <w:pPr>
              <w:pStyle w:val="Compact"/>
              <w:jc w:val="left"/>
            </w:pPr>
            <w:r>
              <w:t xml:space="preserve">Banlinea</w:t>
            </w:r>
          </w:p>
        </w:tc>
        <w:tc>
          <w:tcPr/>
          <w:p>
            <w:pPr>
              <w:pStyle w:val="Compact"/>
              <w:jc w:val="left"/>
            </w:pPr>
            <w:r>
              <w:t xml:space="preserve">Sin proceso</w:t>
            </w:r>
          </w:p>
        </w:tc>
      </w:tr>
      <w:tr>
        <w:tc>
          <w:tcPr/>
          <w:p>
            <w:pPr>
              <w:pStyle w:val="Compact"/>
              <w:jc w:val="left"/>
            </w:pPr>
            <w:r>
              <w:t xml:space="preserve">Autenticación IVR</w:t>
            </w:r>
          </w:p>
        </w:tc>
        <w:tc>
          <w:tcPr/>
          <w:p>
            <w:pPr>
              <w:pStyle w:val="Compact"/>
              <w:jc w:val="left"/>
            </w:pPr>
            <w:r>
              <w:t xml:space="preserve">Sin proceso</w:t>
            </w:r>
          </w:p>
        </w:tc>
      </w:tr>
      <w:tr>
        <w:tc>
          <w:tcPr/>
          <w:p>
            <w:pPr>
              <w:pStyle w:val="Compact"/>
              <w:jc w:val="left"/>
            </w:pPr>
            <w:r>
              <w:t xml:space="preserve">OASIS</w:t>
            </w:r>
          </w:p>
        </w:tc>
        <w:tc>
          <w:tcPr/>
          <w:p>
            <w:pPr>
              <w:pStyle w:val="Compact"/>
              <w:jc w:val="left"/>
            </w:pPr>
            <w:r>
              <w:t xml:space="preserve">Sin proceso</w:t>
            </w:r>
          </w:p>
        </w:tc>
      </w:tr>
      <w:tr>
        <w:tc>
          <w:tcPr/>
          <w:p>
            <w:pPr>
              <w:pStyle w:val="Compact"/>
              <w:jc w:val="left"/>
            </w:pPr>
            <w:r>
              <w:t xml:space="preserve">GHumana</w:t>
            </w:r>
          </w:p>
        </w:tc>
        <w:tc>
          <w:tcPr/>
          <w:p>
            <w:pPr>
              <w:pStyle w:val="Compact"/>
              <w:jc w:val="left"/>
            </w:pPr>
            <w:r>
              <w:t xml:space="preserve">Sin proceso</w:t>
            </w:r>
          </w:p>
        </w:tc>
      </w:tr>
      <w:tr>
        <w:tc>
          <w:tcPr/>
          <w:p>
            <w:pPr>
              <w:pStyle w:val="Compact"/>
              <w:jc w:val="left"/>
            </w:pPr>
            <w:r>
              <w:t xml:space="preserve">Fondo En Linea Personas</w:t>
            </w:r>
          </w:p>
        </w:tc>
        <w:tc>
          <w:tcPr/>
          <w:p>
            <w:pPr>
              <w:pStyle w:val="Compact"/>
              <w:jc w:val="left"/>
            </w:pPr>
            <w:r>
              <w:t xml:space="preserve">Sin proceso</w:t>
            </w:r>
          </w:p>
        </w:tc>
      </w:tr>
      <w:tr>
        <w:tc>
          <w:tcPr/>
          <w:p>
            <w:pPr>
              <w:pStyle w:val="Compact"/>
              <w:jc w:val="left"/>
            </w:pPr>
            <w:r>
              <w:t xml:space="preserve">Fondo En Linea Empresarial</w:t>
            </w:r>
          </w:p>
        </w:tc>
        <w:tc>
          <w:tcPr/>
          <w:p>
            <w:pPr>
              <w:pStyle w:val="Compact"/>
              <w:jc w:val="left"/>
            </w:pPr>
            <w:r>
              <w:t xml:space="preserve">Sin proceso</w:t>
            </w:r>
          </w:p>
        </w:tc>
      </w:tr>
      <w:tr>
        <w:tc>
          <w:tcPr/>
          <w:p>
            <w:pPr>
              <w:pStyle w:val="Compact"/>
              <w:jc w:val="left"/>
            </w:pPr>
            <w:r>
              <w:t xml:space="preserve">COBIS REC</w:t>
            </w:r>
          </w:p>
        </w:tc>
        <w:tc>
          <w:tcPr/>
          <w:p>
            <w:pPr>
              <w:pStyle w:val="Compact"/>
              <w:jc w:val="left"/>
            </w:pPr>
            <w:r>
              <w:t xml:space="preserve">Sin proceso</w:t>
            </w:r>
          </w:p>
        </w:tc>
      </w:tr>
      <w:tr>
        <w:tc>
          <w:tcPr/>
          <w:p>
            <w:pPr>
              <w:pStyle w:val="Compact"/>
              <w:jc w:val="left"/>
            </w:pPr>
            <w:r>
              <w:t xml:space="preserve">COBIS Admin Referencias</w:t>
            </w:r>
          </w:p>
        </w:tc>
        <w:tc>
          <w:tcPr/>
          <w:p>
            <w:pPr>
              <w:pStyle w:val="Compact"/>
              <w:jc w:val="left"/>
            </w:pPr>
            <w:r>
              <w:t xml:space="preserve">Sin proceso</w:t>
            </w:r>
          </w:p>
        </w:tc>
      </w:tr>
      <w:tr>
        <w:tc>
          <w:tcPr/>
          <w:p>
            <w:pPr>
              <w:pStyle w:val="Compact"/>
              <w:jc w:val="left"/>
            </w:pPr>
            <w:r>
              <w:t xml:space="preserve">COBIS VisualBatch</w:t>
            </w:r>
          </w:p>
        </w:tc>
        <w:tc>
          <w:tcPr/>
          <w:p>
            <w:pPr>
              <w:pStyle w:val="Compact"/>
              <w:jc w:val="left"/>
            </w:pPr>
            <w:r>
              <w:t xml:space="preserve">Sin proceso</w:t>
            </w:r>
          </w:p>
        </w:tc>
      </w:tr>
      <w:tr>
        <w:tc>
          <w:tcPr/>
          <w:p>
            <w:pPr>
              <w:pStyle w:val="Compact"/>
              <w:jc w:val="left"/>
            </w:pPr>
            <w:r>
              <w:t xml:space="preserve">COBIS Contabilidad</w:t>
            </w:r>
          </w:p>
        </w:tc>
        <w:tc>
          <w:tcPr/>
          <w:p>
            <w:pPr>
              <w:pStyle w:val="Compact"/>
              <w:jc w:val="left"/>
            </w:pPr>
            <w:r>
              <w:t xml:space="preserve">Sin proceso</w:t>
            </w:r>
          </w:p>
        </w:tc>
      </w:tr>
      <w:tr>
        <w:tc>
          <w:tcPr/>
          <w:p>
            <w:pPr>
              <w:pStyle w:val="Compact"/>
              <w:jc w:val="left"/>
            </w:pPr>
            <w:r>
              <w:t xml:space="preserve">COBIS Presupuesto</w:t>
            </w:r>
          </w:p>
        </w:tc>
        <w:tc>
          <w:tcPr/>
          <w:p>
            <w:pPr>
              <w:pStyle w:val="Compact"/>
              <w:jc w:val="left"/>
            </w:pPr>
            <w:r>
              <w:t xml:space="preserve">Sin proceso</w:t>
            </w:r>
          </w:p>
        </w:tc>
      </w:tr>
      <w:tr>
        <w:tc>
          <w:tcPr/>
          <w:p>
            <w:pPr>
              <w:pStyle w:val="Compact"/>
              <w:jc w:val="left"/>
            </w:pPr>
            <w:r>
              <w:t xml:space="preserve">COBIS Admin Seguridad</w:t>
            </w:r>
          </w:p>
        </w:tc>
        <w:tc>
          <w:tcPr/>
          <w:p>
            <w:pPr>
              <w:pStyle w:val="Compact"/>
              <w:jc w:val="left"/>
            </w:pPr>
            <w:r>
              <w:t xml:space="preserve">Sin proceso</w:t>
            </w:r>
          </w:p>
        </w:tc>
      </w:tr>
      <w:tr>
        <w:tc>
          <w:tcPr/>
          <w:p>
            <w:pPr>
              <w:pStyle w:val="Compact"/>
              <w:jc w:val="left"/>
            </w:pPr>
            <w:r>
              <w:t xml:space="preserve">Mi vivienda en linea / Vitrina virtual</w:t>
            </w:r>
          </w:p>
        </w:tc>
        <w:tc>
          <w:tcPr/>
          <w:p>
            <w:pPr>
              <w:pStyle w:val="Compact"/>
              <w:jc w:val="left"/>
            </w:pPr>
            <w:r>
              <w:t xml:space="preserve">Sin proceso</w:t>
            </w:r>
          </w:p>
        </w:tc>
      </w:tr>
    </w:tbl>
    <w:p>
      <w:pPr>
        <w:pStyle w:val="Textoindependiente"/>
      </w:pPr>
      <w:hyperlink r:id="rId40">
        <w:r>
          <w:rPr>
            <w:rStyle w:val="Hipervnculo"/>
          </w:rPr>
          <w:t xml:space="preserve">Tabla.</w:t>
        </w:r>
      </w:hyperlink>
      <w:r>
        <w:t xml:space="preserve"> </w:t>
      </w:r>
      <w:r>
        <w:t xml:space="preserve">Apliaciones del FNA sin relaciones con procesos.</w:t>
      </w:r>
    </w:p>
    <w:p>
      <w:pPr>
        <w:pStyle w:val="Textoindependiente"/>
      </w:pPr>
      <w:r>
        <w:rPr>
          <w:iCs/>
          <w:i/>
        </w:rPr>
        <w:t xml:space="preserve">Fuente: InventarioAplicacionesFNA.xlsx</w:t>
      </w:r>
    </w:p>
    <w:bookmarkEnd w:id="60"/>
    <w:bookmarkEnd w:id="61"/>
    <w:bookmarkStart w:id="62"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40">
        <w:r>
          <w:rPr>
            <w:rStyle w:val="Hipervnculo"/>
          </w:rPr>
          <w:t xml:space="preserve">Ilustracion 1.</w:t>
        </w:r>
      </w:hyperlink>
      <w:r>
        <w:t xml:space="preserve"> </w:t>
      </w:r>
      <w:r>
        <w:t xml:space="preserve">Marcos de referencia vista de Información</w:t>
      </w:r>
    </w:p>
    <w:p>
      <w:pPr>
        <w:pStyle w:val="Textoindependiente"/>
      </w:pPr>
    </w:p>
    <w:bookmarkEnd w:id="63"/>
    <w:bookmarkStart w:id="84"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64">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69">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73">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74">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75">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76">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77">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78">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79">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80">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81">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82">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83">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84"/>
    <w:bookmarkStart w:id="85"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85"/>
    <w:bookmarkStart w:id="86"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86"/>
    <w:bookmarkStart w:id="87"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87"/>
    <w:bookmarkStart w:id="88"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17"/>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90" w:name="fuentes-de-información"/>
    <w:p>
      <w:pPr>
        <w:pStyle w:val="Ttulo2"/>
      </w:pPr>
      <w:r>
        <w:t xml:space="preserve">Fuentes de Información</w:t>
      </w:r>
    </w:p>
    <w:p>
      <w:pPr>
        <w:numPr>
          <w:ilvl w:val="0"/>
          <w:numId w:val="1018"/>
        </w:numPr>
        <w:pStyle w:val="Compact"/>
      </w:pPr>
      <w:r>
        <w:t xml:space="preserve">The Enterprise Data Model: a framework for enterprise data architecture, 2nd Edition. (2012, mayo 7). Andy Graham.</w:t>
      </w:r>
    </w:p>
    <w:p>
      <w:pPr>
        <w:numPr>
          <w:ilvl w:val="0"/>
          <w:numId w:val="1018"/>
        </w:numPr>
        <w:pStyle w:val="Compact"/>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89">
              <w:r>
                <w:rPr>
                  <w:rStyle w:val="Hipervnculo"/>
                </w:rPr>
                <w:t xml:space="preserve">N005a. Vista de Integración FNA-2</w:t>
              </w:r>
            </w:hyperlink>
          </w:p>
        </w:tc>
      </w:tr>
    </w:tbl>
    <w:p>
      <w:pPr>
        <w:pStyle w:val="Textoindependiente"/>
      </w:pPr>
    </w:p>
    <w:bookmarkEnd w:id="90"/>
    <w:bookmarkStart w:id="93"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91"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40">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91"/>
    <w:bookmarkStart w:id="92"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92"/>
    <w:bookmarkEnd w:id="93"/>
    <w:bookmarkStart w:id="96" w:name="anexos"/>
    <w:p>
      <w:pPr>
        <w:pStyle w:val="Ttulo2"/>
      </w:pPr>
      <w:r>
        <w:t xml:space="preserve">Anexos</w:t>
      </w:r>
    </w:p>
    <w:bookmarkStart w:id="94"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94"/>
    <w:bookmarkStart w:id="95"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95"/>
    <w:bookmarkEnd w:id="96"/>
    <w:bookmarkStart w:id="98"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4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97"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4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97"/>
    <w:bookmarkEnd w:id="98"/>
    <w:bookmarkEnd w:id="99"/>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2023-01-11T16:23:53Z</dcterms:created>
  <dcterms:modified xsi:type="dcterms:W3CDTF">2023-01-11T16:23:53Z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