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Manuscript</w:t>
      </w:r>
      <w:r>
        <w:t xml:space="preserve"> </w:t>
      </w:r>
      <w:r>
        <w:t xml:space="preserve">Title</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7"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6"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Objetivos del Diagnóstico SOA y Productos, Áreas, y Procesos FNA Objeto del Diagnóstico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4">
              <w:r>
                <w:rPr>
                  <w:rStyle w:val="Hipervnculo"/>
                </w:rPr>
                <w:t xml:space="preserve">N001d. Ejecución Plan de Trabajo SOA</w:t>
              </w:r>
            </w:hyperlink>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p>
    <w:bookmarkEnd w:id="26"/>
    <w:bookmarkEnd w:id="27"/>
    <w:bookmarkStart w:id="29" w:name="vista-de-contexto-soa-fna-181-2020"/>
    <w:p>
      <w:pPr>
        <w:pStyle w:val="Ttulo1"/>
      </w:pPr>
      <w:r>
        <w:t xml:space="preserve">Vista de Contexto SOA FNA (181-2020)</w:t>
      </w:r>
    </w:p>
    <w:bookmarkStart w:id="28" w:name="X18861a53d2f17729ec0fdcae7cd78e296fb8c1a"/>
    <w:p>
      <w:pPr>
        <w:pStyle w:val="Ttulo2"/>
      </w:pPr>
      <w:r>
        <w:t xml:space="preserve">Objetivos del diagnóstico SOA y Productos, Áreas Procesos FNA Objeto del Diagnóstico</w:t>
      </w:r>
    </w:p>
    <w:p>
      <w:pPr>
        <w:pStyle w:val="FirstParagraph"/>
      </w:pPr>
      <w:r>
        <w:t xml:space="preserve">La vista de contexto presenta una visión de la empresa ajustada a aquellas partes que entran en el alcance de este proyecto, 181-2020, diagnóstico SOA FNA.</w:t>
      </w:r>
    </w:p>
    <w:p>
      <w:pPr>
        <w:pStyle w:val="Textoindependiente"/>
      </w:pPr>
    </w:p>
    <w:p>
      <w:pPr>
        <w:pStyle w:val="Textoindependiente"/>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Textoindependiente"/>
      </w:pPr>
    </w:p>
    <w:bookmarkEnd w:id="28"/>
    <w:bookmarkEnd w:id="29"/>
    <w:bookmarkStart w:id="36" w:name="Xed2c28570c147e672d7c628c4cc8118e1aa5374"/>
    <w:p>
      <w:pPr>
        <w:pStyle w:val="Ttulo1"/>
      </w:pPr>
      <w:r>
        <w:t xml:space="preserve">Detalles de la Vista de Contexto SOA FNA (181-2020)</w:t>
      </w:r>
    </w:p>
    <w:bookmarkStart w:id="30" w:name="X47d1aa801a506f166c83dc31d417e7c096ebfb4"/>
    <w:p>
      <w:pPr>
        <w:pStyle w:val="Ttulo2"/>
      </w:pPr>
      <w:r>
        <w:t xml:space="preserve">Objetivos de la Consultoría: Problemática y Diagnósticos</w:t>
      </w:r>
    </w:p>
    <w:p>
      <w:pPr>
        <w:pStyle w:val="FirstParagraph"/>
      </w:pPr>
      <w:r>
        <w:t xml:space="preserve">La consultoría SOA (proyecto 181-2020) tratará tres problemáticas importantes de Fondo Nacional del Ahorro (FNA):</w:t>
      </w:r>
    </w:p>
    <w:p>
      <w:pPr>
        <w:numPr>
          <w:ilvl w:val="0"/>
          <w:numId w:val="1009"/>
        </w:numPr>
        <w:pStyle w:val="Compact"/>
      </w:pPr>
      <w:r>
        <w:t xml:space="preserve">OBJ1. Independencia de proveedor</w:t>
      </w:r>
    </w:p>
    <w:p>
      <w:pPr>
        <w:numPr>
          <w:ilvl w:val="0"/>
          <w:numId w:val="1009"/>
        </w:numPr>
        <w:pStyle w:val="Compact"/>
      </w:pPr>
      <w:r>
        <w:t xml:space="preserve">OBJ2. Flexibilidad y tiempo de mercado</w:t>
      </w:r>
    </w:p>
    <w:p>
      <w:pPr>
        <w:numPr>
          <w:ilvl w:val="0"/>
          <w:numId w:val="1009"/>
        </w:numPr>
        <w:pStyle w:val="Compact"/>
      </w:pPr>
      <w:r>
        <w:t xml:space="preserve">OBJ3. Fortaleza SOA de las aplicaciones del FNA</w:t>
      </w:r>
    </w:p>
    <w:p>
      <w:pPr>
        <w:pStyle w:val="FirstParagraph"/>
      </w:pPr>
      <w:r>
        <w:rPr>
          <w:bCs/>
          <w:b/>
        </w:rPr>
        <w:t xml:space="preserve">Nota</w:t>
      </w:r>
      <w:r>
        <w:t xml:space="preserve">: Gobierno SOA del FNA lo establecemos como uno de los resultados (un producto de trabajo) que entregaremos al FNA, no como un objeto de la consultoría.</w:t>
      </w:r>
    </w:p>
    <w:p>
      <w:pPr>
        <w:pStyle w:val="Textoindependiente"/>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Textoindependiente"/>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Ttulo2"/>
      </w:pPr>
      <w:r>
        <w:t xml:space="preserve">Productos del FNA Objetos del Diagnóstico</w:t>
      </w:r>
    </w:p>
    <w:p>
      <w:pPr>
        <w:pStyle w:val="FirstParagraph"/>
      </w:pPr>
      <w:r>
        <w:t xml:space="preserve">Esta consultoría considera como entradas para los diagnósticos a los productos de negocio del FNA siguientes:</w:t>
      </w:r>
    </w:p>
    <w:p>
      <w:pPr>
        <w:numPr>
          <w:ilvl w:val="0"/>
          <w:numId w:val="1010"/>
        </w:numPr>
        <w:pStyle w:val="Compact"/>
      </w:pPr>
      <w:r>
        <w:t xml:space="preserve">Cuenta AVC (ahorro voluntario)</w:t>
      </w:r>
    </w:p>
    <w:p>
      <w:pPr>
        <w:numPr>
          <w:ilvl w:val="0"/>
          <w:numId w:val="1010"/>
        </w:numPr>
        <w:pStyle w:val="Compact"/>
      </w:pPr>
      <w:r>
        <w:t xml:space="preserve">Cesantías</w:t>
      </w:r>
    </w:p>
    <w:p>
      <w:pPr>
        <w:numPr>
          <w:ilvl w:val="0"/>
          <w:numId w:val="1010"/>
        </w:numPr>
        <w:pStyle w:val="Compact"/>
      </w:pPr>
      <w:r>
        <w:t xml:space="preserve">Crédito</w:t>
      </w:r>
    </w:p>
    <w:p>
      <w:pPr>
        <w:numPr>
          <w:ilvl w:val="0"/>
          <w:numId w:val="1010"/>
        </w:numPr>
        <w:pStyle w:val="Compact"/>
      </w:pPr>
      <w:r>
        <w:t xml:space="preserve">Cartera</w:t>
      </w:r>
    </w:p>
    <w:p>
      <w:pPr>
        <w:pStyle w:val="FirstParagraph"/>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Ttulo2"/>
      </w:pPr>
      <w:r>
        <w:t xml:space="preserve">Áreas de Negocio del FNA Objetos del Diagnóstico</w:t>
      </w:r>
    </w:p>
    <w:p>
      <w:pPr>
        <w:pStyle w:val="FirstParagraph"/>
      </w:pPr>
      <w:r>
        <w:t xml:space="preserve">Con base a los productos de negocio de la FNA seleccionados, las áreas del FNA que competen a esta consultoría y a los objetivos de los diagnósticos son:</w:t>
      </w:r>
    </w:p>
    <w:p>
      <w:pPr>
        <w:numPr>
          <w:ilvl w:val="0"/>
          <w:numId w:val="1011"/>
        </w:numPr>
        <w:pStyle w:val="Compact"/>
      </w:pPr>
      <w:r>
        <w:t xml:space="preserve">Vicepresidencia de Crédito</w:t>
      </w:r>
    </w:p>
    <w:p>
      <w:pPr>
        <w:numPr>
          <w:ilvl w:val="0"/>
          <w:numId w:val="1011"/>
        </w:numPr>
        <w:pStyle w:val="Compact"/>
      </w:pPr>
      <w:r>
        <w:t xml:space="preserve">Vicepresidencia de Operaciones</w:t>
      </w:r>
    </w:p>
    <w:p>
      <w:pPr>
        <w:pStyle w:val="FirstParagraph"/>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Ttulo3"/>
      </w:pPr>
      <w:r>
        <w:t xml:space="preserve">Referencia</w:t>
      </w:r>
    </w:p>
    <w:p>
      <w:pPr>
        <w:pStyle w:val="FirstParagraph"/>
      </w:pPr>
    </w:p>
    <w:bookmarkEnd w:id="32"/>
    <w:bookmarkEnd w:id="33"/>
    <w:bookmarkStart w:id="35" w:name="Xe5340f4e4041b674d6db373a70536e57f4f5a80"/>
    <w:p>
      <w:pPr>
        <w:pStyle w:val="Ttulo2"/>
      </w:pPr>
      <w:r>
        <w:t xml:space="preserve">Procesos de Negocio Objetos del Diagnóstico</w:t>
      </w:r>
    </w:p>
    <w:p>
      <w:pPr>
        <w:pStyle w:val="FirstParagraph"/>
      </w:pPr>
      <w:r>
        <w:t xml:space="preserve">Los procesos de negocio seleccionados por este proyecto SOA son aquellos relacionados con los productos de negocio objetos de esta consultoría, por ejemplo,</w:t>
      </w:r>
    </w:p>
    <w:p>
      <w:pPr>
        <w:numPr>
          <w:ilvl w:val="0"/>
          <w:numId w:val="1012"/>
        </w:numPr>
        <w:pStyle w:val="Compact"/>
      </w:pPr>
      <w:r>
        <w:t xml:space="preserve">PROC1. Administración de Cuentas y Pago de Cesantías (CSNT)</w:t>
      </w:r>
    </w:p>
    <w:p>
      <w:pPr>
        <w:numPr>
          <w:ilvl w:val="0"/>
          <w:numId w:val="1012"/>
        </w:numPr>
        <w:pStyle w:val="Compact"/>
      </w:pPr>
      <w:r>
        <w:t xml:space="preserve">PROC2. Gestión Crédito</w:t>
      </w:r>
    </w:p>
    <w:p>
      <w:pPr>
        <w:numPr>
          <w:ilvl w:val="1"/>
          <w:numId w:val="1013"/>
        </w:numPr>
        <w:pStyle w:val="Compact"/>
      </w:pPr>
      <w:r>
        <w:t xml:space="preserve">PROC2.1. Gestión Crédito Educativo</w:t>
      </w:r>
    </w:p>
    <w:p>
      <w:pPr>
        <w:numPr>
          <w:ilvl w:val="1"/>
          <w:numId w:val="1013"/>
        </w:numPr>
        <w:pStyle w:val="Compact"/>
      </w:pPr>
      <w:r>
        <w:t xml:space="preserve">PROC2.2. Gestión Crédito Hipotecario</w:t>
      </w:r>
    </w:p>
    <w:p>
      <w:pPr>
        <w:numPr>
          <w:ilvl w:val="1"/>
          <w:numId w:val="1013"/>
        </w:numPr>
        <w:pStyle w:val="Compact"/>
      </w:pPr>
      <w:r>
        <w:t xml:space="preserve">PROC2.3. Gestión Crédito Constructor</w:t>
      </w:r>
    </w:p>
    <w:p>
      <w:pPr>
        <w:numPr>
          <w:ilvl w:val="0"/>
          <w:numId w:val="1012"/>
        </w:numPr>
        <w:pStyle w:val="Compact"/>
      </w:pPr>
      <w:r>
        <w:t xml:space="preserve">PROC3. Facturación y Cartera</w:t>
      </w:r>
    </w:p>
    <w:bookmarkStart w:id="34" w:name="referencia-1"/>
    <w:p>
      <w:pPr>
        <w:pStyle w:val="Ttulo3"/>
      </w:pPr>
      <w:r>
        <w:t xml:space="preserve">Referencia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bookmarkEnd w:id="34"/>
    <w:bookmarkEnd w:id="35"/>
    <w:bookmarkEnd w:id="36"/>
    <w:bookmarkStart w:id="44"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14"/>
        </w:numPr>
        <w:pStyle w:val="Compact"/>
      </w:pPr>
      <w:hyperlink w:anchor="aporte-censatias-business-process">
        <w:r>
          <w:rPr>
            <w:rStyle w:val="Hipervnculo"/>
          </w:rPr>
          <w:t xml:space="preserve">Aporte Censatias (Business Process)</w:t>
        </w:r>
      </w:hyperlink>
    </w:p>
    <w:p>
      <w:pPr>
        <w:numPr>
          <w:ilvl w:val="0"/>
          <w:numId w:val="1014"/>
        </w:numPr>
        <w:pStyle w:val="Compact"/>
      </w:pPr>
      <w:hyperlink w:anchor="X4e68c4067c4cb4fefbc2569561a87d699eaf26d">
        <w:r>
          <w:rPr>
            <w:rStyle w:val="Hipervnculo"/>
          </w:rPr>
          <w:t xml:space="preserve">Administración de Cuentas y Pago (Business Process)</w:t>
        </w:r>
      </w:hyperlink>
    </w:p>
    <w:p>
      <w:pPr>
        <w:numPr>
          <w:ilvl w:val="0"/>
          <w:numId w:val="1014"/>
        </w:numPr>
        <w:pStyle w:val="Compact"/>
      </w:pPr>
      <w:hyperlink w:anchor="gestión-comercial-business-process">
        <w:r>
          <w:rPr>
            <w:rStyle w:val="Hipervnculo"/>
          </w:rPr>
          <w:t xml:space="preserve">Gestión Comercial (Business Process)</w:t>
        </w:r>
      </w:hyperlink>
    </w:p>
    <w:p>
      <w:pPr>
        <w:numPr>
          <w:ilvl w:val="0"/>
          <w:numId w:val="1014"/>
        </w:numPr>
        <w:pStyle w:val="Compact"/>
      </w:pPr>
      <w:hyperlink w:anchor="gestión-de-credito-business-process">
        <w:r>
          <w:rPr>
            <w:rStyle w:val="Hipervnculo"/>
          </w:rPr>
          <w:t xml:space="preserve">Gestión de Credito (Business Process)</w:t>
        </w:r>
      </w:hyperlink>
    </w:p>
    <w:p>
      <w:pPr>
        <w:numPr>
          <w:ilvl w:val="0"/>
          <w:numId w:val="1014"/>
        </w:numPr>
        <w:pStyle w:val="Compact"/>
      </w:pPr>
      <w:hyperlink w:anchor="educativo-business-process">
        <w:r>
          <w:rPr>
            <w:rStyle w:val="Hipervnculo"/>
          </w:rPr>
          <w:t xml:space="preserve">Educativo (Business Process)</w:t>
        </w:r>
      </w:hyperlink>
    </w:p>
    <w:p>
      <w:pPr>
        <w:numPr>
          <w:ilvl w:val="0"/>
          <w:numId w:val="1014"/>
        </w:numPr>
        <w:pStyle w:val="Compact"/>
      </w:pPr>
      <w:hyperlink w:anchor="procesos-misionales-business-process">
        <w:r>
          <w:rPr>
            <w:rStyle w:val="Hipervnculo"/>
          </w:rPr>
          <w:t xml:space="preserve">Procesos Misionales (Business Process)</w:t>
        </w:r>
      </w:hyperlink>
    </w:p>
    <w:p>
      <w:pPr>
        <w:numPr>
          <w:ilvl w:val="0"/>
          <w:numId w:val="1014"/>
        </w:numPr>
        <w:pStyle w:val="Compact"/>
      </w:pPr>
      <w:hyperlink w:anchor="hipotecario-business-process">
        <w:r>
          <w:rPr>
            <w:rStyle w:val="Hipervnculo"/>
          </w:rPr>
          <w:t xml:space="preserve">Hipotecario (Business Process)</w:t>
        </w:r>
      </w:hyperlink>
    </w:p>
    <w:p>
      <w:pPr>
        <w:numPr>
          <w:ilvl w:val="0"/>
          <w:numId w:val="1014"/>
        </w:numPr>
        <w:pStyle w:val="Compact"/>
      </w:pPr>
      <w:hyperlink w:anchor="cesantias-business-process">
        <w:r>
          <w:rPr>
            <w:rStyle w:val="Hipervnculo"/>
          </w:rPr>
          <w:t xml:space="preserve">Cesantias (Business Process)</w:t>
        </w:r>
      </w:hyperlink>
    </w:p>
    <w:p>
      <w:pPr>
        <w:numPr>
          <w:ilvl w:val="0"/>
          <w:numId w:val="1014"/>
        </w:numPr>
        <w:pStyle w:val="Compact"/>
      </w:pPr>
      <w:hyperlink w:anchor="desembolso-business-process">
        <w:r>
          <w:rPr>
            <w:rStyle w:val="Hipervnculo"/>
          </w:rPr>
          <w:t xml:space="preserve">Desembolso (Business Process)</w:t>
        </w:r>
      </w:hyperlink>
    </w:p>
    <w:p>
      <w:pPr>
        <w:numPr>
          <w:ilvl w:val="0"/>
          <w:numId w:val="1014"/>
        </w:numPr>
        <w:pStyle w:val="Compact"/>
      </w:pPr>
      <w:hyperlink w:anchor="facturación-y-cartera-business-process">
        <w:r>
          <w:rPr>
            <w:rStyle w:val="Hipervnculo"/>
          </w:rPr>
          <w:t xml:space="preserve">Facturación y Cartera (Business Process)</w:t>
        </w:r>
      </w:hyperlink>
    </w:p>
    <w:p>
      <w:pPr>
        <w:numPr>
          <w:ilvl w:val="0"/>
          <w:numId w:val="1014"/>
        </w:numPr>
        <w:pStyle w:val="Compact"/>
      </w:pPr>
      <w:hyperlink w:anchor="ahorro-voluntario-business-process">
        <w:r>
          <w:rPr>
            <w:rStyle w:val="Hipervnculo"/>
          </w:rPr>
          <w:t xml:space="preserve">Ahorro Voluntario (Business Process)</w:t>
        </w:r>
      </w:hyperlink>
    </w:p>
    <w:p>
      <w:pPr>
        <w:numPr>
          <w:ilvl w:val="0"/>
          <w:numId w:val="1014"/>
        </w:numPr>
        <w:pStyle w:val="Compact"/>
      </w:pPr>
      <w:hyperlink w:anchor="X67cd9ad52f43c417929a9d1a7b2aa82b79029f8">
        <w:r>
          <w:rPr>
            <w:rStyle w:val="Hipervnculo"/>
          </w:rPr>
          <w:t xml:space="preserve">Captación de Ahorro Voluntario (Business Process)</w:t>
        </w:r>
      </w:hyperlink>
    </w:p>
    <w:p>
      <w:pPr>
        <w:numPr>
          <w:ilvl w:val="0"/>
          <w:numId w:val="1014"/>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14"/>
        </w:numPr>
        <w:pStyle w:val="Compact"/>
      </w:pPr>
      <w:hyperlink w:anchor="X2a2dff4b0309f411b0c35aaba014fd46d5a75e4">
        <w:r>
          <w:rPr>
            <w:rStyle w:val="Hipervnculo"/>
          </w:rPr>
          <w:t xml:space="preserve">Aplicación Web - Gestión Traslado (Application Component)</w:t>
        </w:r>
      </w:hyperlink>
    </w:p>
    <w:p>
      <w:pPr>
        <w:numPr>
          <w:ilvl w:val="0"/>
          <w:numId w:val="1014"/>
        </w:numPr>
        <w:pStyle w:val="Compact"/>
      </w:pPr>
      <w:hyperlink w:anchor="cobis---cesantias-application-component">
        <w:r>
          <w:rPr>
            <w:rStyle w:val="Hipervnculo"/>
          </w:rPr>
          <w:t xml:space="preserve">COBIS - Cesantias (Application Component)</w:t>
        </w:r>
      </w:hyperlink>
    </w:p>
    <w:p>
      <w:pPr>
        <w:numPr>
          <w:ilvl w:val="0"/>
          <w:numId w:val="1014"/>
        </w:numPr>
        <w:pStyle w:val="Compact"/>
      </w:pPr>
      <w:hyperlink w:anchor="Xf135e283447ada7b7d45d7779aaba891856f368">
        <w:r>
          <w:rPr>
            <w:rStyle w:val="Hipervnculo"/>
          </w:rPr>
          <w:t xml:space="preserve">Aplicación Back - Bizagi Engine (Application Component)</w:t>
        </w:r>
      </w:hyperlink>
    </w:p>
    <w:p>
      <w:pPr>
        <w:numPr>
          <w:ilvl w:val="0"/>
          <w:numId w:val="1014"/>
        </w:numPr>
        <w:pStyle w:val="Compact"/>
      </w:pPr>
      <w:hyperlink w:anchor="Xbd767ed9df71bd06a876dc65a36c346fa981e9f">
        <w:r>
          <w:rPr>
            <w:rStyle w:val="Hipervnculo"/>
          </w:rPr>
          <w:t xml:space="preserve">Aplicación EJB - Credito Constructor (Application Component)</w:t>
        </w:r>
      </w:hyperlink>
    </w:p>
    <w:p>
      <w:pPr>
        <w:numPr>
          <w:ilvl w:val="0"/>
          <w:numId w:val="1014"/>
        </w:numPr>
        <w:pStyle w:val="Compact"/>
      </w:pPr>
      <w:hyperlink w:anchor="X7d65a7312cab17aec69bf0e31eb4376acaafa59">
        <w:r>
          <w:rPr>
            <w:rStyle w:val="Hipervnculo"/>
          </w:rPr>
          <w:t xml:space="preserve">Aplicación Web - Crédito Constructor (Application Component)</w:t>
        </w:r>
      </w:hyperlink>
    </w:p>
    <w:p>
      <w:pPr>
        <w:numPr>
          <w:ilvl w:val="0"/>
          <w:numId w:val="1014"/>
        </w:numPr>
        <w:pStyle w:val="Compact"/>
      </w:pPr>
      <w:hyperlink w:anchor="Xe7301570dfca50dcb332fbf994ea1010cab2805">
        <w:r>
          <w:rPr>
            <w:rStyle w:val="Hipervnculo"/>
          </w:rPr>
          <w:t xml:space="preserve">Aplicación Web - Scoring (Application Component)</w:t>
        </w:r>
      </w:hyperlink>
    </w:p>
    <w:p>
      <w:pPr>
        <w:numPr>
          <w:ilvl w:val="0"/>
          <w:numId w:val="1014"/>
        </w:numPr>
        <w:pStyle w:val="Compact"/>
      </w:pPr>
      <w:hyperlink w:anchor="bizagi-application-component">
        <w:r>
          <w:rPr>
            <w:rStyle w:val="Hipervnculo"/>
          </w:rPr>
          <w:t xml:space="preserve">BIZAGI (Application Component)</w:t>
        </w:r>
      </w:hyperlink>
    </w:p>
    <w:p>
      <w:pPr>
        <w:numPr>
          <w:ilvl w:val="0"/>
          <w:numId w:val="1014"/>
        </w:numPr>
        <w:pStyle w:val="Compact"/>
      </w:pPr>
      <w:hyperlink w:anchor="cobis---crédito-application-component">
        <w:r>
          <w:rPr>
            <w:rStyle w:val="Hipervnculo"/>
          </w:rPr>
          <w:t xml:space="preserve">COBIS - Crédito (Application Component)</w:t>
        </w:r>
      </w:hyperlink>
    </w:p>
    <w:p>
      <w:pPr>
        <w:numPr>
          <w:ilvl w:val="0"/>
          <w:numId w:val="1014"/>
        </w:numPr>
        <w:pStyle w:val="Compact"/>
      </w:pPr>
      <w:hyperlink w:anchor="servicios-score-technology-service">
        <w:r>
          <w:rPr>
            <w:rStyle w:val="Hipervnculo"/>
          </w:rPr>
          <w:t xml:space="preserve">Servicios Score (Technology Service)</w:t>
        </w:r>
      </w:hyperlink>
    </w:p>
    <w:p>
      <w:pPr>
        <w:numPr>
          <w:ilvl w:val="0"/>
          <w:numId w:val="1014"/>
        </w:numPr>
        <w:pStyle w:val="Compact"/>
      </w:pPr>
      <w:hyperlink w:anchor="cobis---cartera-application-component">
        <w:r>
          <w:rPr>
            <w:rStyle w:val="Hipervnculo"/>
          </w:rPr>
          <w:t xml:space="preserve">COBIS - Cartera (Application Component)</w:t>
        </w:r>
      </w:hyperlink>
    </w:p>
    <w:p>
      <w:pPr>
        <w:numPr>
          <w:ilvl w:val="0"/>
          <w:numId w:val="1014"/>
        </w:numPr>
        <w:pStyle w:val="Compact"/>
      </w:pPr>
      <w:hyperlink w:anchor="cobis---avc-application-component">
        <w:r>
          <w:rPr>
            <w:rStyle w:val="Hipervnculo"/>
          </w:rPr>
          <w:t xml:space="preserve">COBIS - AVC (Application Component)</w:t>
        </w:r>
      </w:hyperlink>
    </w:p>
    <w:p>
      <w:pPr>
        <w:numPr>
          <w:ilvl w:val="0"/>
          <w:numId w:val="1014"/>
        </w:numPr>
        <w:pStyle w:val="Compact"/>
      </w:pPr>
      <w:hyperlink w:anchor="Xba0f2e824ba04dfd0e08d8a351c972bf68ca2ff">
        <w:r>
          <w:rPr>
            <w:rStyle w:val="Hipervnculo"/>
          </w:rPr>
          <w:t xml:space="preserve">Servicios de Infraestructura (Technology Service)</w:t>
        </w:r>
      </w:hyperlink>
    </w:p>
    <w:p>
      <w:pPr>
        <w:numPr>
          <w:ilvl w:val="0"/>
          <w:numId w:val="1014"/>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39"/>
    <w:bookmarkStart w:id="42"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Textoindependiente"/>
      </w:pPr>
    </w:p>
    <w:p>
      <w:pPr>
        <w:pStyle w:val="Textoindependiente"/>
      </w:pPr>
      <w:hyperlink r:id="rId40">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Textoindependiente"/>
      </w:pPr>
    </w:p>
    <w:bookmarkEnd w:id="42"/>
    <w:bookmarkStart w:id="43"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p>
    <w:p>
      <w:pPr>
        <w:pStyle w:val="Textoindependiente"/>
      </w:pPr>
      <w:hyperlink r:id="rId40">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43"/>
    <w:bookmarkEnd w:id="44"/>
    <w:bookmarkStart w:id="47" w:name="catálogo-de-servicios-fna-blueprint"/>
    <w:p>
      <w:pPr>
        <w:pStyle w:val="Ttulo1"/>
      </w:pPr>
      <w:r>
        <w:t xml:space="preserve">Catálogo de Servicios FNA (blueprint)</w:t>
      </w:r>
    </w:p>
    <w:bookmarkStart w:id="45"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15"/>
        </w:numPr>
        <w:pStyle w:val="Compact"/>
      </w:pPr>
      <w:r>
        <w:t xml:space="preserve">Desarrollo de nuevos negocios</w:t>
      </w:r>
    </w:p>
    <w:p>
      <w:pPr>
        <w:numPr>
          <w:ilvl w:val="0"/>
          <w:numId w:val="1015"/>
        </w:numPr>
        <w:pStyle w:val="Compact"/>
      </w:pPr>
      <w:r>
        <w:t xml:space="preserve">Gestión de Cliente</w:t>
      </w:r>
    </w:p>
    <w:p>
      <w:pPr>
        <w:numPr>
          <w:ilvl w:val="0"/>
          <w:numId w:val="1015"/>
        </w:numPr>
        <w:pStyle w:val="Compact"/>
      </w:pPr>
      <w:r>
        <w:t xml:space="preserve">Administración de Recursos y Negocio</w:t>
      </w:r>
    </w:p>
    <w:p>
      <w:pPr>
        <w:numPr>
          <w:ilvl w:val="0"/>
          <w:numId w:val="1015"/>
        </w:numPr>
        <w:pStyle w:val="Compact"/>
      </w:pPr>
      <w:r>
        <w:t xml:space="preserve">Entrega de Productos</w:t>
      </w:r>
    </w:p>
    <w:p>
      <w:pPr>
        <w:numPr>
          <w:ilvl w:val="0"/>
          <w:numId w:val="1015"/>
        </w:numPr>
        <w:pStyle w:val="Compact"/>
      </w:pPr>
      <w:r>
        <w:t xml:space="preserve">Servicios de Cuentas</w:t>
      </w:r>
    </w:p>
    <w:p>
      <w:pPr>
        <w:numPr>
          <w:ilvl w:val="0"/>
          <w:numId w:val="1015"/>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4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46"/>
    <w:bookmarkEnd w:id="47"/>
    <w:bookmarkStart w:id="108"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48"/>
    <w:bookmarkStart w:id="50" w:name="anexo-2.-modelos-analizados"/>
    <w:p>
      <w:pPr>
        <w:pStyle w:val="Ttulo2"/>
      </w:pPr>
      <w:r>
        <w:t xml:space="preserve">Anexo 2. Modelos Analizados</w:t>
      </w:r>
    </w:p>
    <w:p>
      <w:pPr>
        <w:numPr>
          <w:ilvl w:val="0"/>
          <w:numId w:val="1016"/>
        </w:numPr>
        <w:pStyle w:val="Compact"/>
      </w:pPr>
      <w:r>
        <w:t xml:space="preserve">2015-06-01 modelo arquitectura togaf - fna banca digital v6.archimate</w:t>
      </w:r>
    </w:p>
    <w:p>
      <w:pPr>
        <w:numPr>
          <w:ilvl w:val="0"/>
          <w:numId w:val="1016"/>
        </w:numPr>
        <w:pStyle w:val="Compact"/>
      </w:pPr>
      <w:r>
        <w:t xml:space="preserve">aa002 - cobis ahorro voluntario.archimate</w:t>
      </w:r>
    </w:p>
    <w:p>
      <w:pPr>
        <w:numPr>
          <w:ilvl w:val="0"/>
          <w:numId w:val="1016"/>
        </w:numPr>
        <w:pStyle w:val="Compact"/>
      </w:pPr>
      <w:r>
        <w:t xml:space="preserve">aa003-cobis cesantias.archimate</w:t>
      </w:r>
    </w:p>
    <w:p>
      <w:pPr>
        <w:numPr>
          <w:ilvl w:val="0"/>
          <w:numId w:val="1016"/>
        </w:numPr>
        <w:pStyle w:val="Compact"/>
      </w:pPr>
      <w:r>
        <w:t xml:space="preserve">aa005-cobis cartera.archimate</w:t>
      </w:r>
    </w:p>
    <w:p>
      <w:pPr>
        <w:numPr>
          <w:ilvl w:val="0"/>
          <w:numId w:val="1016"/>
        </w:numPr>
        <w:pStyle w:val="Compact"/>
      </w:pPr>
      <w:r>
        <w:t xml:space="preserve">aa006-cobis tramites.archimate</w:t>
      </w:r>
    </w:p>
    <w:p>
      <w:pPr>
        <w:numPr>
          <w:ilvl w:val="0"/>
          <w:numId w:val="1016"/>
        </w:numPr>
        <w:pStyle w:val="Compact"/>
      </w:pPr>
      <w:r>
        <w:t xml:space="preserve">aa015-cobis clientes.archimate</w:t>
      </w:r>
    </w:p>
    <w:p>
      <w:pPr>
        <w:numPr>
          <w:ilvl w:val="0"/>
          <w:numId w:val="1016"/>
        </w:numPr>
        <w:pStyle w:val="Compact"/>
      </w:pPr>
      <w:r>
        <w:t xml:space="preserve">aa020-banca virtual.archimate</w:t>
      </w:r>
    </w:p>
    <w:p>
      <w:pPr>
        <w:numPr>
          <w:ilvl w:val="0"/>
          <w:numId w:val="1016"/>
        </w:numPr>
        <w:pStyle w:val="Compact"/>
      </w:pPr>
      <w:r>
        <w:t xml:space="preserve">aa021-fondo en linea.archimate</w:t>
      </w:r>
    </w:p>
    <w:p>
      <w:pPr>
        <w:numPr>
          <w:ilvl w:val="0"/>
          <w:numId w:val="1016"/>
        </w:numPr>
        <w:pStyle w:val="Compact"/>
      </w:pPr>
      <w:r>
        <w:t xml:space="preserve">aa074-fondo en linea personal.archimate</w:t>
      </w:r>
    </w:p>
    <w:p>
      <w:pPr>
        <w:numPr>
          <w:ilvl w:val="0"/>
          <w:numId w:val="1016"/>
        </w:numPr>
        <w:pStyle w:val="Compact"/>
      </w:pPr>
      <w:r>
        <w:rPr>
          <w:bCs/>
          <w:b/>
        </w:rPr>
        <w:t xml:space="preserve">aa091-cobis cx.archimate</w:t>
      </w:r>
    </w:p>
    <w:p>
      <w:pPr>
        <w:numPr>
          <w:ilvl w:val="0"/>
          <w:numId w:val="1016"/>
        </w:numPr>
        <w:pStyle w:val="Compact"/>
      </w:pPr>
      <w:r>
        <w:rPr>
          <w:bCs/>
          <w:b/>
        </w:rPr>
        <w:t xml:space="preserve">ae_fna.archimate</w:t>
      </w:r>
    </w:p>
    <w:p>
      <w:pPr>
        <w:numPr>
          <w:ilvl w:val="0"/>
          <w:numId w:val="1016"/>
        </w:numPr>
        <w:pStyle w:val="Compact"/>
      </w:pPr>
      <w:r>
        <w:rPr>
          <w:bCs/>
          <w:b/>
        </w:rPr>
        <w:t xml:space="preserve">ae_fna_as_is.archimate</w:t>
      </w:r>
    </w:p>
    <w:p>
      <w:pPr>
        <w:numPr>
          <w:ilvl w:val="0"/>
          <w:numId w:val="1016"/>
        </w:numPr>
        <w:pStyle w:val="Compact"/>
      </w:pPr>
      <w:r>
        <w:t xml:space="preserve">ae_fna_tobe.archimate</w:t>
      </w:r>
    </w:p>
    <w:p>
      <w:pPr>
        <w:numPr>
          <w:ilvl w:val="0"/>
          <w:numId w:val="1016"/>
        </w:numPr>
        <w:pStyle w:val="Compact"/>
      </w:pPr>
      <w:r>
        <w:t xml:space="preserve">arquitectura banca digital v4.archimate</w:t>
      </w:r>
    </w:p>
    <w:p>
      <w:pPr>
        <w:numPr>
          <w:ilvl w:val="0"/>
          <w:numId w:val="1016"/>
        </w:numPr>
        <w:pStyle w:val="Compact"/>
      </w:pPr>
      <w:r>
        <w:rPr>
          <w:bCs/>
          <w:b/>
        </w:rPr>
        <w:t xml:space="preserve">arquitectura fna.archimate</w:t>
      </w:r>
    </w:p>
    <w:p>
      <w:pPr>
        <w:numPr>
          <w:ilvl w:val="0"/>
          <w:numId w:val="1016"/>
        </w:numPr>
        <w:pStyle w:val="Compact"/>
      </w:pPr>
      <w:r>
        <w:t xml:space="preserve">arquitectura movil_v1.archimate</w:t>
      </w:r>
    </w:p>
    <w:p>
      <w:pPr>
        <w:numPr>
          <w:ilvl w:val="0"/>
          <w:numId w:val="1016"/>
        </w:numPr>
        <w:pStyle w:val="Compact"/>
      </w:pPr>
      <w:r>
        <w:t xml:space="preserve">arquitectura movil_v2.archimate</w:t>
      </w:r>
    </w:p>
    <w:p>
      <w:pPr>
        <w:numPr>
          <w:ilvl w:val="0"/>
          <w:numId w:val="1016"/>
        </w:numPr>
        <w:pStyle w:val="Compact"/>
      </w:pPr>
      <w:r>
        <w:t xml:space="preserve">fna_proyectos v2.0.archimate</w:t>
      </w:r>
    </w:p>
    <w:p>
      <w:pPr>
        <w:numPr>
          <w:ilvl w:val="0"/>
          <w:numId w:val="1016"/>
        </w:numPr>
        <w:pStyle w:val="Compact"/>
      </w:pPr>
      <w:r>
        <w:t xml:space="preserve">information_architecture_bi_ba_md_archixml.archimate</w:t>
      </w:r>
    </w:p>
    <w:p>
      <w:pPr>
        <w:numPr>
          <w:ilvl w:val="0"/>
          <w:numId w:val="1016"/>
        </w:numPr>
        <w:pStyle w:val="Compact"/>
      </w:pPr>
      <w:r>
        <w:t xml:space="preserve">ivr.archimate</w:t>
      </w:r>
    </w:p>
    <w:p>
      <w:pPr>
        <w:numPr>
          <w:ilvl w:val="0"/>
          <w:numId w:val="1016"/>
        </w:numPr>
        <w:pStyle w:val="Compact"/>
      </w:pPr>
      <w:r>
        <w:t xml:space="preserve">pa0003-pki.archimate</w:t>
      </w:r>
    </w:p>
    <w:p>
      <w:pPr>
        <w:numPr>
          <w:ilvl w:val="0"/>
          <w:numId w:val="1016"/>
        </w:numPr>
        <w:pStyle w:val="Compact"/>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49">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End w:id="50"/>
    <w:bookmarkStart w:id="5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5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51"/>
    <w:bookmarkEnd w:id="52"/>
    <w:bookmarkStart w:id="53"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40">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53"/>
    <w:bookmarkStart w:id="56"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54"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40">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54"/>
    <w:bookmarkStart w:id="55"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55"/>
    <w:bookmarkEnd w:id="56"/>
    <w:bookmarkStart w:id="57"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Tipos de Servicios y Distribución de Servicios SOA por Tipo</w:t>
            </w:r>
          </w:p>
        </w:tc>
      </w:tr>
      <w:tr>
        <w:tc>
          <w:tcPr/>
          <w:p>
            <w:pPr>
              <w:pStyle w:val="Compact"/>
              <w:jc w:val="left"/>
            </w:pPr>
            <w:r>
              <w:t xml:space="preserve">Palabras clave</w:t>
            </w:r>
          </w:p>
        </w:tc>
        <w:tc>
          <w:tcPr/>
          <w:p>
            <w:pPr>
              <w:pStyle w:val="Compact"/>
              <w:jc w:val="left"/>
            </w:pPr>
            <w:r>
              <w:t xml:space="preserve">SOA, Servicios, Distribución de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bl>
    <w:p>
      <w:pPr>
        <w:pStyle w:val="Textoindependiente"/>
      </w:pPr>
    </w:p>
    <w:bookmarkEnd w:id="57"/>
    <w:bookmarkStart w:id="59" w:name="Xa1381753908cde6bd5f59574231a4e168e92d67"/>
    <w:p>
      <w:pPr>
        <w:pStyle w:val="Ttulo2"/>
      </w:pPr>
      <w:r>
        <w:t xml:space="preserve">Catalogación de los Tipos de Servicios del Portafolio SOA, FNA</w:t>
      </w:r>
    </w:p>
    <w:p>
      <w:pPr>
        <w:pStyle w:val="FirstParagraph"/>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Textoindependiente"/>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0">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p>
    <w:p>
      <w:pPr>
        <w:pStyle w:val="SourceCode"/>
      </w:pPr>
      <w:r>
        <w:rPr>
          <w:rStyle w:val="VerbatimChar"/>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FirstParagraph"/>
      </w:pPr>
    </w:p>
    <w:p>
      <w:pPr>
        <w:pStyle w:val="Textoindependiente"/>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Textoindependiente"/>
      </w:pPr>
    </w:p>
    <w:bookmarkStart w:id="58" w:name="X1790c05538986f5653ba9a958df1cfb55d66eee"/>
    <w:p>
      <w:pPr>
        <w:pStyle w:val="Ttulo3"/>
      </w:pPr>
      <w:r>
        <w:t xml:space="preserve">Lista de Detalle de los Servicios de Proceso</w:t>
      </w:r>
    </w:p>
    <w:p>
      <w:pPr>
        <w:pStyle w:val="FirstParagraph"/>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Compact"/>
              <w:jc w:val="left"/>
            </w:pPr>
            <w:r>
              <w:rPr>
                <w:bCs/>
                <w:b/>
              </w:rPr>
              <w:t xml:space="preserve">Nombre Servicio</w:t>
            </w:r>
          </w:p>
        </w:tc>
        <w:tc>
          <w:tcPr/>
          <w:p>
            <w:pPr>
              <w:pStyle w:val="Compact"/>
              <w:jc w:val="left"/>
            </w:pPr>
            <w:r>
              <w:rPr>
                <w:bCs/>
                <w:b/>
              </w:rPr>
              <w:t xml:space="preserve">Proveedor</w:t>
            </w:r>
          </w:p>
        </w:tc>
        <w:tc>
          <w:tcPr/>
          <w:p>
            <w:pPr>
              <w:pStyle w:val="Compact"/>
              <w:jc w:val="left"/>
            </w:pPr>
            <w:r>
              <w:rPr>
                <w:bCs/>
                <w:b/>
              </w:rPr>
              <w:t xml:space="preserve">Consumidor</w:t>
            </w:r>
          </w:p>
        </w:tc>
        <w:tc>
          <w:tcPr/>
          <w:p>
            <w:pPr>
              <w:pStyle w:val="Compact"/>
              <w:jc w:val="left"/>
            </w:pPr>
            <w:r>
              <w:rPr>
                <w:bCs/>
                <w:b/>
              </w:rPr>
              <w:t xml:space="preserve">Tipo Servicio</w:t>
            </w:r>
          </w:p>
        </w:tc>
      </w:tr>
      <w:tr>
        <w:tc>
          <w:tcPr/>
          <w:p>
            <w:pPr>
              <w:pStyle w:val="Compact"/>
              <w:jc w:val="left"/>
            </w:pPr>
            <w:r>
              <w:t xml:space="preserve">VS_ESB_2.0.0_Credito_RecuperarTramiteSolicitudes</w:t>
            </w:r>
          </w:p>
        </w:tc>
        <w:tc>
          <w:tcPr/>
          <w:p>
            <w:pPr>
              <w:pStyle w:val="Compact"/>
              <w:jc w:val="left"/>
            </w:pPr>
            <w:r>
              <w:t xml:space="preserve">COBIS AS058</w:t>
            </w:r>
          </w:p>
        </w:tc>
        <w:tc>
          <w:tcPr/>
          <w:p>
            <w:pPr>
              <w:pStyle w:val="Compact"/>
              <w:jc w:val="left"/>
            </w:pPr>
            <w:r>
              <w:t xml:space="preserve">COBRANZA</w:t>
            </w:r>
          </w:p>
        </w:tc>
        <w:tc>
          <w:tcPr/>
          <w:p>
            <w:pPr>
              <w:pStyle w:val="Compact"/>
              <w:jc w:val="left"/>
            </w:pPr>
            <w:r>
              <w:t xml:space="preserve">Servicio Negocio</w:t>
            </w:r>
          </w:p>
        </w:tc>
      </w:tr>
      <w:tr>
        <w:tc>
          <w:tcPr/>
          <w:p>
            <w:pPr>
              <w:pStyle w:val="Compact"/>
              <w:jc w:val="left"/>
            </w:pPr>
            <w:r>
              <w:t xml:space="preserve">VS-ESB-1.3.0-Cesantias-CrearSolicitudRetiro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VS-ESB-1.1.0-CuentaAVC-CrearSolicitudRetiro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VS-ESB-1.0.0-CuentaAVC-ConsultarScoring</w:t>
            </w:r>
          </w:p>
        </w:tc>
        <w:tc>
          <w:tcPr/>
          <w:p>
            <w:pPr>
              <w:pStyle w:val="Compact"/>
              <w:jc w:val="left"/>
            </w:pPr>
            <w:r>
              <w:t xml:space="preserve">Cobis</w:t>
            </w:r>
          </w:p>
        </w:tc>
        <w:tc>
          <w:tcPr/>
          <w:p>
            <w:pPr>
              <w:pStyle w:val="Compact"/>
              <w:jc w:val="left"/>
            </w:pPr>
            <w:r>
              <w:t xml:space="preserve">Aplicaciones FNA</w:t>
            </w:r>
          </w:p>
        </w:tc>
        <w:tc>
          <w:tcPr/>
          <w:p>
            <w:pPr>
              <w:pStyle w:val="Compact"/>
              <w:jc w:val="left"/>
            </w:pPr>
            <w:r>
              <w:t xml:space="preserve">Servicio Negocio</w:t>
            </w:r>
          </w:p>
        </w:tc>
      </w:tr>
      <w:tr>
        <w:tc>
          <w:tcPr/>
          <w:p>
            <w:pPr>
              <w:pStyle w:val="Compact"/>
              <w:jc w:val="left"/>
            </w:pPr>
            <w:r>
              <w:t xml:space="preserve">VS_ESB_1.0.0_CuentaAVC_GestionCuentaAVC</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VS_ESB_1.0.0_Credito_RechazarTramiteCredito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VS_ESB_1.0.0_Credito_GenerarCertificadoService</w:t>
            </w:r>
          </w:p>
        </w:tc>
        <w:tc>
          <w:tcPr/>
          <w:p>
            <w:pPr>
              <w:pStyle w:val="Compact"/>
              <w:jc w:val="left"/>
            </w:pPr>
            <w:r>
              <w:t xml:space="preserve">Cobis</w:t>
            </w:r>
          </w:p>
        </w:tc>
        <w:tc>
          <w:tcPr/>
          <w:p>
            <w:pPr>
              <w:pStyle w:val="Compact"/>
              <w:jc w:val="left"/>
            </w:pPr>
            <w:r>
              <w:t xml:space="preserve">FONDO EN LINEA</w:t>
            </w:r>
          </w:p>
        </w:tc>
        <w:tc>
          <w:tcPr/>
          <w:p>
            <w:pPr>
              <w:pStyle w:val="Compact"/>
              <w:jc w:val="left"/>
            </w:pPr>
            <w:r>
              <w:t xml:space="preserve">Servicio Negocio</w:t>
            </w:r>
          </w:p>
        </w:tc>
      </w:tr>
      <w:tr>
        <w:tc>
          <w:tcPr/>
          <w:p>
            <w:pPr>
              <w:pStyle w:val="Compact"/>
              <w:jc w:val="left"/>
            </w:pPr>
            <w:r>
              <w:t xml:space="preserve">VS_ESB_1.0.0_Credito_EnrutarTramiteCredito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VS_ESB_1.0.0_Credito_AsignarEstacionTramiteCredito</w:t>
            </w:r>
          </w:p>
        </w:tc>
        <w:tc>
          <w:tcPr/>
          <w:p>
            <w:pPr>
              <w:pStyle w:val="Compact"/>
              <w:jc w:val="left"/>
            </w:pPr>
            <w:r>
              <w:t xml:space="preserve">Cobis</w:t>
            </w:r>
          </w:p>
        </w:tc>
        <w:tc>
          <w:tcPr/>
          <w:p>
            <w:pPr>
              <w:pStyle w:val="Compact"/>
              <w:jc w:val="left"/>
            </w:pPr>
            <w:r>
              <w:t xml:space="preserve">ASESOR FNA</w:t>
            </w:r>
          </w:p>
        </w:tc>
        <w:tc>
          <w:tcPr/>
          <w:p>
            <w:pPr>
              <w:pStyle w:val="Compact"/>
              <w:jc w:val="left"/>
            </w:pPr>
            <w:r>
              <w:t xml:space="preserve">Servicio Negocio</w:t>
            </w:r>
          </w:p>
        </w:tc>
      </w:tr>
      <w:tr>
        <w:tc>
          <w:tcPr/>
          <w:p>
            <w:pPr>
              <w:pStyle w:val="Compact"/>
              <w:jc w:val="left"/>
            </w:pPr>
            <w:r>
              <w:t xml:space="preserve">VS_ESB_1.0.0_Cesantias_CrearSolicitudRetiro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VS-ESB-1.0.0-Credito-NotificarEstadoDesembolso</w:t>
            </w:r>
          </w:p>
        </w:tc>
        <w:tc>
          <w:tcPr/>
          <w:p>
            <w:pPr>
              <w:pStyle w:val="Compact"/>
              <w:jc w:val="left"/>
            </w:pPr>
            <w:r>
              <w:t xml:space="preserve">BIZAGI</w:t>
            </w:r>
          </w:p>
        </w:tc>
        <w:tc>
          <w:tcPr/>
          <w:p>
            <w:pPr>
              <w:pStyle w:val="Compact"/>
              <w:jc w:val="left"/>
            </w:pPr>
            <w:r>
              <w:t xml:space="preserve">COBIS</w:t>
            </w:r>
          </w:p>
        </w:tc>
        <w:tc>
          <w:tcPr/>
          <w:p>
            <w:pPr>
              <w:pStyle w:val="Compact"/>
              <w:jc w:val="left"/>
            </w:pPr>
            <w:r>
              <w:t xml:space="preserve">Servicio Negocio</w:t>
            </w:r>
          </w:p>
        </w:tc>
      </w:tr>
      <w:tr>
        <w:tc>
          <w:tcPr/>
          <w:p>
            <w:pPr>
              <w:pStyle w:val="Compact"/>
              <w:jc w:val="left"/>
            </w:pPr>
            <w:r>
              <w:t xml:space="preserve">VS_ESB_1.0.0_CuadroVentas_CrearSolicitud</w:t>
            </w:r>
          </w:p>
        </w:tc>
        <w:tc>
          <w:tcPr/>
          <w:p>
            <w:pPr>
              <w:pStyle w:val="Compact"/>
              <w:jc w:val="left"/>
            </w:pPr>
            <w:r>
              <w:t xml:space="preserve">ADMINFO</w:t>
            </w:r>
          </w:p>
        </w:tc>
        <w:tc>
          <w:tcPr/>
          <w:p>
            <w:pPr>
              <w:pStyle w:val="Compact"/>
              <w:jc w:val="left"/>
            </w:pPr>
            <w:r>
              <w:t xml:space="preserve">ATENCIÓN AL CLIENTE</w:t>
            </w:r>
          </w:p>
        </w:tc>
        <w:tc>
          <w:tcPr/>
          <w:p>
            <w:pPr>
              <w:pStyle w:val="Compact"/>
              <w:jc w:val="left"/>
            </w:pPr>
            <w:r>
              <w:t xml:space="preserve">Servicio Negocio</w:t>
            </w:r>
          </w:p>
        </w:tc>
      </w:tr>
      <w:tr>
        <w:tc>
          <w:tcPr/>
          <w:p>
            <w:pPr>
              <w:pStyle w:val="Compact"/>
              <w:jc w:val="left"/>
            </w:pPr>
            <w:r>
              <w:t xml:space="preserve">VS_ESB_1.0.0_CuentaAVC_CalcularPuntajeService</w:t>
            </w:r>
          </w:p>
        </w:tc>
        <w:tc>
          <w:tcPr/>
          <w:p>
            <w:pPr>
              <w:pStyle w:val="Compact"/>
            </w:pPr>
          </w:p>
        </w:tc>
        <w:tc>
          <w:tcPr/>
          <w:p>
            <w:pPr>
              <w:pStyle w:val="Compact"/>
            </w:pPr>
          </w:p>
        </w:tc>
        <w:tc>
          <w:tcPr/>
          <w:p>
            <w:pPr>
              <w:pStyle w:val="Compact"/>
              <w:jc w:val="left"/>
            </w:pPr>
            <w:r>
              <w:t xml:space="preserve">Servicio Negocio</w:t>
            </w:r>
          </w:p>
        </w:tc>
      </w:tr>
      <w:tr>
        <w:tc>
          <w:tcPr/>
          <w:p>
            <w:pPr>
              <w:pStyle w:val="Compact"/>
              <w:jc w:val="left"/>
            </w:pPr>
            <w:r>
              <w:t xml:space="preserve">VS_ESB_1.0.0_Credito_InformarCambioEstadoEtapaCobroJuridico</w:t>
            </w:r>
          </w:p>
        </w:tc>
        <w:tc>
          <w:tcPr/>
          <w:p>
            <w:pPr>
              <w:pStyle w:val="Compact"/>
            </w:pPr>
          </w:p>
        </w:tc>
        <w:tc>
          <w:tcPr/>
          <w:p>
            <w:pPr>
              <w:pStyle w:val="Compact"/>
            </w:pPr>
          </w:p>
        </w:tc>
        <w:tc>
          <w:tcPr/>
          <w:p>
            <w:pPr>
              <w:pStyle w:val="Compact"/>
              <w:jc w:val="left"/>
            </w:pPr>
            <w:r>
              <w:t xml:space="preserve">Servicio Negocio</w:t>
            </w:r>
          </w:p>
        </w:tc>
      </w:tr>
    </w:tbl>
    <w:p>
      <w:pPr>
        <w:pStyle w:val="Textoindependiente"/>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Compact"/>
              <w:jc w:val="left"/>
            </w:pPr>
            <w:r>
              <w:t xml:space="preserve">Palabras clave</w:t>
            </w:r>
          </w:p>
        </w:tc>
        <w:tc>
          <w:tcPr/>
          <w:p>
            <w:pPr>
              <w:pStyle w:val="Compact"/>
              <w:jc w:val="left"/>
            </w:pPr>
            <w:r>
              <w:t xml:space="preserve">SOA, Servicios,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pPr>
          </w:p>
        </w:tc>
      </w:tr>
    </w:tbl>
    <w:p>
      <w:pPr>
        <w:pStyle w:val="Textoindependiente"/>
      </w:pPr>
    </w:p>
    <w:bookmarkEnd w:id="58"/>
    <w:bookmarkEnd w:id="59"/>
    <w:bookmarkStart w:id="61" w:name="X9715517bea40dc40451767edf26308fb5686eca"/>
    <w:p>
      <w:pPr>
        <w:pStyle w:val="Ttulo2"/>
      </w:pPr>
      <w:r>
        <w:t xml:space="preserve">Procesos del FNA relacionados con Servicios del FNA Objeto del Diagnóstico SOA</w:t>
      </w:r>
    </w:p>
    <w:p>
      <w:pPr>
        <w:pStyle w:val="FirstParagraph"/>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realidad probable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Textoindependiente"/>
      </w:pPr>
      <w:r>
        <w:t xml:space="preserve">Imagen.</w:t>
      </w:r>
    </w:p>
    <w:p>
      <w:pPr>
        <w:pStyle w:val="Textoindependiente"/>
      </w:pPr>
    </w:p>
    <w:p>
      <w:pPr>
        <w:pStyle w:val="Textoindependiente"/>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rPr>
                <w:iCs/>
                <w:i/>
              </w:rPr>
              <w:t xml:space="preserve">(en blanco)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p>
      <w:pPr>
        <w:pStyle w:val="Textoindependiente"/>
      </w:pPr>
      <w:hyperlink r:id="rId40">
        <w:r>
          <w:rPr>
            <w:rStyle w:val="Hipervnculo"/>
          </w:rPr>
          <w:t xml:space="preserve">Tabla.</w:t>
        </w:r>
      </w:hyperlink>
      <w:r>
        <w:t xml:space="preserve"> </w:t>
      </w:r>
      <w:r>
        <w:t xml:space="preserve">Procesos del FNA con mayor cantidad de relaciones a aplicaciones.</w:t>
      </w:r>
    </w:p>
    <w:p>
      <w:pPr>
        <w:pStyle w:val="Textoindependiente"/>
      </w:pPr>
      <w:r>
        <w:rPr>
          <w:iCs/>
          <w:i/>
        </w:rPr>
        <w:t xml:space="preserve">Fuente: InventarioAplicacionesFNA.xlsx</w:t>
      </w:r>
    </w:p>
    <w:p>
      <w:pPr>
        <w:pStyle w:val="Textoindependiente"/>
      </w:pPr>
    </w:p>
    <w:p>
      <w:pPr>
        <w:pStyle w:val="Textoindependiente"/>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Proceso</w:t>
            </w:r>
          </w:p>
        </w:tc>
        <w:tc>
          <w:tcPr/>
          <w:p>
            <w:pPr>
              <w:pStyle w:val="Compact"/>
              <w:jc w:val="left"/>
            </w:pPr>
            <w:r>
              <w:rPr>
                <w:bCs/>
                <w:b/>
              </w:rPr>
              <w:t xml:space="preserve">Aplicación</w:t>
            </w:r>
          </w:p>
        </w:tc>
        <w:tc>
          <w:tcPr/>
          <w:p>
            <w:pPr>
              <w:pStyle w:val="Compact"/>
              <w:jc w:val="left"/>
            </w:pPr>
            <w:r>
              <w:rPr>
                <w:bCs/>
                <w:b/>
              </w:rPr>
              <w:t xml:space="preserve">Canal</w:t>
            </w:r>
          </w:p>
        </w:tc>
      </w:tr>
      <w:tr>
        <w:tc>
          <w:tcPr/>
          <w:p>
            <w:pPr>
              <w:pStyle w:val="Compact"/>
              <w:jc w:val="left"/>
            </w:pPr>
            <w:r>
              <w:t xml:space="preserve">Facturación y Cartera</w:t>
            </w:r>
          </w:p>
        </w:tc>
        <w:tc>
          <w:tcPr/>
          <w:p>
            <w:pPr>
              <w:pStyle w:val="Compact"/>
              <w:jc w:val="left"/>
            </w:pPr>
            <w:r>
              <w:t xml:space="preserve">Abogados Externos</w:t>
            </w:r>
          </w:p>
        </w:tc>
        <w:tc>
          <w:tcPr/>
          <w:p>
            <w:pPr>
              <w:pStyle w:val="Compact"/>
              <w:jc w:val="left"/>
            </w:pPr>
            <w:r>
              <w:t xml:space="preserve">Internet</w:t>
            </w:r>
          </w:p>
        </w:tc>
      </w:tr>
      <w:tr>
        <w:tc>
          <w:tcPr/>
          <w:p>
            <w:pPr>
              <w:pStyle w:val="Compact"/>
              <w:jc w:val="left"/>
            </w:pPr>
            <w:r>
              <w:t xml:space="preserve">Facturación y Cartera</w:t>
            </w:r>
          </w:p>
        </w:tc>
        <w:tc>
          <w:tcPr/>
          <w:p>
            <w:pPr>
              <w:pStyle w:val="Compact"/>
              <w:jc w:val="left"/>
            </w:pPr>
            <w:r>
              <w:t xml:space="preserve">Adminfo cobranza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Adminfo crédito</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ASOCAJAS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Bogotá</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Occidente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Sudameris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Bancolombia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Cadena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Colpatria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Davivienda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Helm</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Aportes En Línea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Asopagos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Enlace Operativo</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Mi Planilla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Simple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SOI</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SuRed</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COBIS Cartera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COBIS Garantías</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Contingencia Banco de la Republica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Ecollect/Avisor/PSE</w:t>
            </w:r>
          </w:p>
        </w:tc>
        <w:tc>
          <w:tcPr/>
          <w:p>
            <w:pPr>
              <w:pStyle w:val="Compact"/>
              <w:jc w:val="left"/>
            </w:pPr>
            <w:r>
              <w:t xml:space="preserve">Internet</w:t>
            </w:r>
          </w:p>
        </w:tc>
      </w:tr>
    </w:tbl>
    <w:p>
      <w:pPr>
        <w:pStyle w:val="Textoindependiente"/>
      </w:pPr>
      <w:hyperlink r:id="rId40">
        <w:r>
          <w:rPr>
            <w:rStyle w:val="Hipervnculo"/>
          </w:rPr>
          <w:t xml:space="preserve">Tabla.</w:t>
        </w:r>
      </w:hyperlink>
      <w:r>
        <w:t xml:space="preserve"> </w:t>
      </w:r>
      <w:r>
        <w:t xml:space="preserve">Relaciones del proceso Facturación y Cartera del FNA.</w:t>
      </w:r>
    </w:p>
    <w:p>
      <w:pPr>
        <w:pStyle w:val="Textoindependiente"/>
      </w:pPr>
      <w:r>
        <w:rPr>
          <w:iCs/>
          <w:i/>
        </w:rPr>
        <w:t xml:space="preserve">Fuente: InventarioAplicacionesFNA.xlsx</w:t>
      </w:r>
    </w:p>
    <w:p>
      <w:pPr>
        <w:pStyle w:val="Textoindependiente"/>
      </w:pPr>
    </w:p>
    <w:bookmarkStart w:id="60" w:name="atención-2"/>
    <w:p>
      <w:pPr>
        <w:pStyle w:val="Ttulo3"/>
      </w:pPr>
      <w:r>
        <w:t xml:space="preserve">Atención</w:t>
      </w:r>
    </w:p>
    <w:p>
      <w:pPr>
        <w:pStyle w:val="FirstParagraph"/>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w:t>
            </w:r>
          </w:p>
        </w:tc>
        <w:tc>
          <w:tcPr/>
          <w:p>
            <w:pPr>
              <w:pStyle w:val="Compact"/>
              <w:jc w:val="left"/>
            </w:pPr>
            <w:r>
              <w:rPr>
                <w:bCs/>
                <w:b/>
              </w:rPr>
              <w:t xml:space="preserve">Proceso</w:t>
            </w:r>
          </w:p>
        </w:tc>
      </w:tr>
      <w:tr>
        <w:tc>
          <w:tcPr/>
          <w:p>
            <w:pPr>
              <w:pStyle w:val="Compact"/>
              <w:jc w:val="left"/>
            </w:pPr>
            <w:r>
              <w:t xml:space="preserve">IDM</w:t>
            </w:r>
          </w:p>
        </w:tc>
        <w:tc>
          <w:tcPr/>
          <w:p>
            <w:pPr>
              <w:pStyle w:val="Compact"/>
              <w:jc w:val="left"/>
            </w:pPr>
            <w:r>
              <w:t xml:space="preserve">Sin proceso</w:t>
            </w:r>
          </w:p>
        </w:tc>
      </w:tr>
      <w:tr>
        <w:tc>
          <w:tcPr/>
          <w:p>
            <w:pPr>
              <w:pStyle w:val="Compact"/>
              <w:jc w:val="left"/>
            </w:pPr>
            <w:r>
              <w:t xml:space="preserve">FINAC</w:t>
            </w:r>
          </w:p>
        </w:tc>
        <w:tc>
          <w:tcPr/>
          <w:p>
            <w:pPr>
              <w:pStyle w:val="Compact"/>
              <w:jc w:val="left"/>
            </w:pPr>
            <w:r>
              <w:t xml:space="preserve">Sin proceso</w:t>
            </w:r>
          </w:p>
        </w:tc>
      </w:tr>
      <w:tr>
        <w:tc>
          <w:tcPr/>
          <w:p>
            <w:pPr>
              <w:pStyle w:val="Compact"/>
              <w:jc w:val="left"/>
            </w:pPr>
            <w:r>
              <w:t xml:space="preserve">GoAnyWhere</w:t>
            </w:r>
          </w:p>
        </w:tc>
        <w:tc>
          <w:tcPr/>
          <w:p>
            <w:pPr>
              <w:pStyle w:val="Compact"/>
              <w:jc w:val="left"/>
            </w:pPr>
            <w:r>
              <w:t xml:space="preserve">Sin proceso</w:t>
            </w:r>
          </w:p>
        </w:tc>
      </w:tr>
      <w:tr>
        <w:tc>
          <w:tcPr/>
          <w:p>
            <w:pPr>
              <w:pStyle w:val="Compact"/>
              <w:jc w:val="left"/>
            </w:pPr>
            <w:r>
              <w:t xml:space="preserve">ERP SAP</w:t>
            </w:r>
          </w:p>
        </w:tc>
        <w:tc>
          <w:tcPr/>
          <w:p>
            <w:pPr>
              <w:pStyle w:val="Compact"/>
              <w:jc w:val="left"/>
            </w:pPr>
            <w:r>
              <w:t xml:space="preserve">Sin proceso</w:t>
            </w:r>
          </w:p>
        </w:tc>
      </w:tr>
      <w:tr>
        <w:tc>
          <w:tcPr/>
          <w:p>
            <w:pPr>
              <w:pStyle w:val="Compact"/>
              <w:jc w:val="left"/>
            </w:pPr>
            <w:r>
              <w:t xml:space="preserve">ASOCAJAS</w:t>
            </w:r>
          </w:p>
        </w:tc>
        <w:tc>
          <w:tcPr/>
          <w:p>
            <w:pPr>
              <w:pStyle w:val="Compact"/>
              <w:jc w:val="left"/>
            </w:pPr>
            <w:r>
              <w:t xml:space="preserve">Sin proceso</w:t>
            </w:r>
          </w:p>
        </w:tc>
      </w:tr>
      <w:tr>
        <w:tc>
          <w:tcPr/>
          <w:p>
            <w:pPr>
              <w:pStyle w:val="Compact"/>
              <w:jc w:val="left"/>
            </w:pPr>
            <w:r>
              <w:t xml:space="preserve">WorkManager</w:t>
            </w:r>
          </w:p>
        </w:tc>
        <w:tc>
          <w:tcPr/>
          <w:p>
            <w:pPr>
              <w:pStyle w:val="Compact"/>
              <w:jc w:val="left"/>
            </w:pPr>
            <w:r>
              <w:t xml:space="preserve">Sin proceso</w:t>
            </w:r>
          </w:p>
        </w:tc>
      </w:tr>
      <w:tr>
        <w:tc>
          <w:tcPr/>
          <w:p>
            <w:pPr>
              <w:pStyle w:val="Compact"/>
              <w:jc w:val="left"/>
            </w:pPr>
            <w:r>
              <w:t xml:space="preserve">Banlinea</w:t>
            </w:r>
          </w:p>
        </w:tc>
        <w:tc>
          <w:tcPr/>
          <w:p>
            <w:pPr>
              <w:pStyle w:val="Compact"/>
              <w:jc w:val="left"/>
            </w:pPr>
            <w:r>
              <w:t xml:space="preserve">Sin proceso</w:t>
            </w:r>
          </w:p>
        </w:tc>
      </w:tr>
      <w:tr>
        <w:tc>
          <w:tcPr/>
          <w:p>
            <w:pPr>
              <w:pStyle w:val="Compact"/>
              <w:jc w:val="left"/>
            </w:pPr>
            <w:r>
              <w:t xml:space="preserve">Autenticación IVR</w:t>
            </w:r>
          </w:p>
        </w:tc>
        <w:tc>
          <w:tcPr/>
          <w:p>
            <w:pPr>
              <w:pStyle w:val="Compact"/>
              <w:jc w:val="left"/>
            </w:pPr>
            <w:r>
              <w:t xml:space="preserve">Sin proceso</w:t>
            </w:r>
          </w:p>
        </w:tc>
      </w:tr>
      <w:tr>
        <w:tc>
          <w:tcPr/>
          <w:p>
            <w:pPr>
              <w:pStyle w:val="Compact"/>
              <w:jc w:val="left"/>
            </w:pPr>
            <w:r>
              <w:t xml:space="preserve">OASIS</w:t>
            </w:r>
          </w:p>
        </w:tc>
        <w:tc>
          <w:tcPr/>
          <w:p>
            <w:pPr>
              <w:pStyle w:val="Compact"/>
              <w:jc w:val="left"/>
            </w:pPr>
            <w:r>
              <w:t xml:space="preserve">Sin proceso</w:t>
            </w:r>
          </w:p>
        </w:tc>
      </w:tr>
      <w:tr>
        <w:tc>
          <w:tcPr/>
          <w:p>
            <w:pPr>
              <w:pStyle w:val="Compact"/>
              <w:jc w:val="left"/>
            </w:pPr>
            <w:r>
              <w:t xml:space="preserve">GHumana</w:t>
            </w:r>
          </w:p>
        </w:tc>
        <w:tc>
          <w:tcPr/>
          <w:p>
            <w:pPr>
              <w:pStyle w:val="Compact"/>
              <w:jc w:val="left"/>
            </w:pPr>
            <w:r>
              <w:t xml:space="preserve">Sin proceso</w:t>
            </w:r>
          </w:p>
        </w:tc>
      </w:tr>
      <w:tr>
        <w:tc>
          <w:tcPr/>
          <w:p>
            <w:pPr>
              <w:pStyle w:val="Compact"/>
              <w:jc w:val="left"/>
            </w:pPr>
            <w:r>
              <w:t xml:space="preserve">Fondo En Linea Personas</w:t>
            </w:r>
          </w:p>
        </w:tc>
        <w:tc>
          <w:tcPr/>
          <w:p>
            <w:pPr>
              <w:pStyle w:val="Compact"/>
              <w:jc w:val="left"/>
            </w:pPr>
            <w:r>
              <w:t xml:space="preserve">Sin proceso</w:t>
            </w:r>
          </w:p>
        </w:tc>
      </w:tr>
      <w:tr>
        <w:tc>
          <w:tcPr/>
          <w:p>
            <w:pPr>
              <w:pStyle w:val="Compact"/>
              <w:jc w:val="left"/>
            </w:pPr>
            <w:r>
              <w:t xml:space="preserve">Fondo En Linea Empresarial</w:t>
            </w:r>
          </w:p>
        </w:tc>
        <w:tc>
          <w:tcPr/>
          <w:p>
            <w:pPr>
              <w:pStyle w:val="Compact"/>
              <w:jc w:val="left"/>
            </w:pPr>
            <w:r>
              <w:t xml:space="preserve">Sin proceso</w:t>
            </w:r>
          </w:p>
        </w:tc>
      </w:tr>
      <w:tr>
        <w:tc>
          <w:tcPr/>
          <w:p>
            <w:pPr>
              <w:pStyle w:val="Compact"/>
              <w:jc w:val="left"/>
            </w:pPr>
            <w:r>
              <w:t xml:space="preserve">COBIS REC</w:t>
            </w:r>
          </w:p>
        </w:tc>
        <w:tc>
          <w:tcPr/>
          <w:p>
            <w:pPr>
              <w:pStyle w:val="Compact"/>
              <w:jc w:val="left"/>
            </w:pPr>
            <w:r>
              <w:t xml:space="preserve">Sin proceso</w:t>
            </w:r>
          </w:p>
        </w:tc>
      </w:tr>
      <w:tr>
        <w:tc>
          <w:tcPr/>
          <w:p>
            <w:pPr>
              <w:pStyle w:val="Compact"/>
              <w:jc w:val="left"/>
            </w:pPr>
            <w:r>
              <w:t xml:space="preserve">COBIS Admin Referencias</w:t>
            </w:r>
          </w:p>
        </w:tc>
        <w:tc>
          <w:tcPr/>
          <w:p>
            <w:pPr>
              <w:pStyle w:val="Compact"/>
              <w:jc w:val="left"/>
            </w:pPr>
            <w:r>
              <w:t xml:space="preserve">Sin proceso</w:t>
            </w:r>
          </w:p>
        </w:tc>
      </w:tr>
      <w:tr>
        <w:tc>
          <w:tcPr/>
          <w:p>
            <w:pPr>
              <w:pStyle w:val="Compact"/>
              <w:jc w:val="left"/>
            </w:pPr>
            <w:r>
              <w:t xml:space="preserve">COBIS VisualBatch</w:t>
            </w:r>
          </w:p>
        </w:tc>
        <w:tc>
          <w:tcPr/>
          <w:p>
            <w:pPr>
              <w:pStyle w:val="Compact"/>
              <w:jc w:val="left"/>
            </w:pPr>
            <w:r>
              <w:t xml:space="preserve">Sin proceso</w:t>
            </w:r>
          </w:p>
        </w:tc>
      </w:tr>
      <w:tr>
        <w:tc>
          <w:tcPr/>
          <w:p>
            <w:pPr>
              <w:pStyle w:val="Compact"/>
              <w:jc w:val="left"/>
            </w:pPr>
            <w:r>
              <w:t xml:space="preserve">COBIS Contabilidad</w:t>
            </w:r>
          </w:p>
        </w:tc>
        <w:tc>
          <w:tcPr/>
          <w:p>
            <w:pPr>
              <w:pStyle w:val="Compact"/>
              <w:jc w:val="left"/>
            </w:pPr>
            <w:r>
              <w:t xml:space="preserve">Sin proceso</w:t>
            </w:r>
          </w:p>
        </w:tc>
      </w:tr>
      <w:tr>
        <w:tc>
          <w:tcPr/>
          <w:p>
            <w:pPr>
              <w:pStyle w:val="Compact"/>
              <w:jc w:val="left"/>
            </w:pPr>
            <w:r>
              <w:t xml:space="preserve">COBIS Presupuesto</w:t>
            </w:r>
          </w:p>
        </w:tc>
        <w:tc>
          <w:tcPr/>
          <w:p>
            <w:pPr>
              <w:pStyle w:val="Compact"/>
              <w:jc w:val="left"/>
            </w:pPr>
            <w:r>
              <w:t xml:space="preserve">Sin proceso</w:t>
            </w:r>
          </w:p>
        </w:tc>
      </w:tr>
      <w:tr>
        <w:tc>
          <w:tcPr/>
          <w:p>
            <w:pPr>
              <w:pStyle w:val="Compact"/>
              <w:jc w:val="left"/>
            </w:pPr>
            <w:r>
              <w:t xml:space="preserve">COBIS Admin Seguridad</w:t>
            </w:r>
          </w:p>
        </w:tc>
        <w:tc>
          <w:tcPr/>
          <w:p>
            <w:pPr>
              <w:pStyle w:val="Compact"/>
              <w:jc w:val="left"/>
            </w:pPr>
            <w:r>
              <w:t xml:space="preserve">Sin proceso</w:t>
            </w:r>
          </w:p>
        </w:tc>
      </w:tr>
      <w:tr>
        <w:tc>
          <w:tcPr/>
          <w:p>
            <w:pPr>
              <w:pStyle w:val="Compact"/>
              <w:jc w:val="left"/>
            </w:pPr>
            <w:r>
              <w:t xml:space="preserve">Mi vivienda en linea / Vitrina virtual</w:t>
            </w:r>
          </w:p>
        </w:tc>
        <w:tc>
          <w:tcPr/>
          <w:p>
            <w:pPr>
              <w:pStyle w:val="Compact"/>
              <w:jc w:val="left"/>
            </w:pPr>
            <w:r>
              <w:t xml:space="preserve">Sin proceso</w:t>
            </w:r>
          </w:p>
        </w:tc>
      </w:tr>
    </w:tbl>
    <w:p>
      <w:pPr>
        <w:pStyle w:val="Textoindependiente"/>
      </w:pPr>
      <w:hyperlink r:id="rId40">
        <w:r>
          <w:rPr>
            <w:rStyle w:val="Hipervnculo"/>
          </w:rPr>
          <w:t xml:space="preserve">Tabla.</w:t>
        </w:r>
      </w:hyperlink>
      <w:r>
        <w:t xml:space="preserve"> </w:t>
      </w:r>
      <w:r>
        <w:t xml:space="preserve">Apliaciones del FNA sin relaciones con procesos.</w:t>
      </w:r>
    </w:p>
    <w:p>
      <w:pPr>
        <w:pStyle w:val="Textoindependiente"/>
      </w:pPr>
      <w:r>
        <w:rPr>
          <w:iCs/>
          <w:i/>
        </w:rPr>
        <w:t xml:space="preserve">Fuente: InventarioAplicacionesFNA.xlsx</w:t>
      </w:r>
    </w:p>
    <w:bookmarkEnd w:id="60"/>
    <w:bookmarkEnd w:id="61"/>
    <w:bookmarkStart w:id="62"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40">
        <w:r>
          <w:rPr>
            <w:rStyle w:val="Hipervnculo"/>
          </w:rPr>
          <w:t xml:space="preserve">Ilustracion 1.</w:t>
        </w:r>
      </w:hyperlink>
      <w:r>
        <w:t xml:space="preserve"> </w:t>
      </w:r>
      <w:r>
        <w:t xml:space="preserve">Marcos de referencia vista de Información</w:t>
      </w:r>
    </w:p>
    <w:p>
      <w:pPr>
        <w:pStyle w:val="Textoindependiente"/>
      </w:pPr>
    </w:p>
    <w:bookmarkEnd w:id="63"/>
    <w:bookmarkStart w:id="84"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64">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69">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73">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74">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75">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76">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77">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78">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79">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80">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81">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82">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83">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84"/>
    <w:bookmarkStart w:id="85"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85"/>
    <w:bookmarkStart w:id="86"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86"/>
    <w:bookmarkStart w:id="87"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87"/>
    <w:bookmarkStart w:id="88"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17"/>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90" w:name="fuentes-de-información"/>
    <w:p>
      <w:pPr>
        <w:pStyle w:val="Ttulo2"/>
      </w:pPr>
      <w:r>
        <w:t xml:space="preserve">Fuentes de Información</w:t>
      </w:r>
    </w:p>
    <w:p>
      <w:pPr>
        <w:numPr>
          <w:ilvl w:val="0"/>
          <w:numId w:val="1018"/>
        </w:numPr>
        <w:pStyle w:val="Compact"/>
      </w:pPr>
      <w:r>
        <w:t xml:space="preserve">The Enterprise Data Model: a framework for enterprise data architecture, 2nd Edition. (2012, mayo 7). Andy Graham.</w:t>
      </w:r>
    </w:p>
    <w:p>
      <w:pPr>
        <w:numPr>
          <w:ilvl w:val="0"/>
          <w:numId w:val="1018"/>
        </w:numPr>
        <w:pStyle w:val="Compact"/>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89">
              <w:r>
                <w:rPr>
                  <w:rStyle w:val="Hipervnculo"/>
                </w:rPr>
                <w:t xml:space="preserve">N005a. Vista de Integración FNA-2</w:t>
              </w:r>
            </w:hyperlink>
          </w:p>
        </w:tc>
      </w:tr>
    </w:tbl>
    <w:p>
      <w:pPr>
        <w:pStyle w:val="Textoindependiente"/>
      </w:pPr>
    </w:p>
    <w:bookmarkEnd w:id="90"/>
    <w:bookmarkStart w:id="93"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40">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91"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40">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40">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91"/>
    <w:bookmarkStart w:id="92"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40">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40">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92"/>
    <w:bookmarkEnd w:id="93"/>
    <w:bookmarkStart w:id="99" w:name="anexos"/>
    <w:p>
      <w:pPr>
        <w:pStyle w:val="Ttulo2"/>
      </w:pPr>
      <w:r>
        <w:t xml:space="preserve">Anexos</w:t>
      </w:r>
    </w:p>
    <w:bookmarkStart w:id="94"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94"/>
    <w:bookmarkStart w:id="98"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95">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96">
              <w:r>
                <w:rPr>
                  <w:rStyle w:val="Hipervnculo"/>
                </w:rPr>
                <w:t xml:space="preserve">N005a. Vista de Integración FNA-1</w:t>
              </w:r>
            </w:hyperlink>
            <w:r>
              <w:t xml:space="preserve"> </w:t>
            </w:r>
            <w:r>
              <w:t xml:space="preserve">|</w:t>
            </w:r>
            <w:r>
              <w:t xml:space="preserve"> </w:t>
            </w:r>
            <w:hyperlink r:id="rId97">
              <w:r>
                <w:rPr>
                  <w:rStyle w:val="Hipervnculo"/>
                </w:rPr>
                <w:t xml:space="preserve">Portafolio de Servicios SOA, Tipos de Servicios y Distribución de servicios SOA por Tipo</w:t>
              </w:r>
            </w:hyperlink>
          </w:p>
        </w:tc>
      </w:tr>
    </w:tbl>
    <w:p>
      <w:pPr>
        <w:pStyle w:val="Textoindependiente"/>
      </w:pPr>
    </w:p>
    <w:bookmarkEnd w:id="98"/>
    <w:bookmarkEnd w:id="99"/>
    <w:bookmarkStart w:id="10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100">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40">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p>
    <w:p>
      <w:pPr>
        <w:pStyle w:val="Textoindependiente"/>
      </w:pPr>
      <w:hyperlink r:id="rId40">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Textoindependiente"/>
      </w:pPr>
    </w:p>
    <w:p>
      <w:pPr>
        <w:pStyle w:val="Textoindependiente"/>
      </w:pPr>
      <w:hyperlink r:id="rId40">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101"/>
    <w:bookmarkStart w:id="10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10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102"/>
    <w:bookmarkStart w:id="10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103"/>
    <w:bookmarkStart w:id="10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104"/>
    <w:bookmarkEnd w:id="105"/>
    <w:bookmarkStart w:id="107"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106">
        <w:r>
          <w:rPr>
            <w:rStyle w:val="Hipervnculo"/>
          </w:rPr>
          <w:t xml:space="preserve">Herramienta de Diagnóstico de Nivel de Madurez SOA</w:t>
        </w:r>
      </w:hyperlink>
      <w:r>
        <w:t xml:space="preserve">.</w:t>
      </w:r>
    </w:p>
    <w:p>
      <w:pPr>
        <w:pStyle w:val="Textoindependiente"/>
      </w:pPr>
    </w:p>
    <w:p>
      <w:pPr>
        <w:pStyle w:val="Textoindependiente"/>
      </w:pPr>
      <w:hyperlink r:id="rId40">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107"/>
    <w:bookmarkEnd w:id="10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97" Target="N003e.%20Cat&#225;logo%20de%20Servicios%20FNA-3.md" TargetMode="External" /><Relationship Type="http://schemas.openxmlformats.org/officeDocument/2006/relationships/hyperlink" Id="rId89" Target="N005a.%20Vista%20de%20Integraci&#243;n%20FNA-2.md" TargetMode="External" /><Relationship Type="http://schemas.openxmlformats.org/officeDocument/2006/relationships/hyperlink" Id="rId96" Target="N005a.%20Vista%2de%2Integraci&#243;n%2FNA-1.md" TargetMode="External" /><Relationship Type="http://schemas.openxmlformats.org/officeDocument/2006/relationships/hyperlink" Id="rId95" Target="N007.%20Presentaci&#243;n%20del%20An&#225;lisis%20de%20Madurez-1" TargetMode="External" /><Relationship Type="http://schemas.openxmlformats.org/officeDocument/2006/relationships/hyperlink" Id="rId100" Target="N007.%20Presentaci&#243;n%20del%20An&#225;lisis%20de%20Madurez-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106" Target="https://stefaninilatam.sharepoint.com/:x:/s/PROYECTOARQUITECTURAE-SERVICEFNA/EaFAwvlljjhPtOMS6Px_BWAB3dCP0EfacSHo6jo0E441RQ?e=l45v7K"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97" Target="N003e.%20Cat&#225;logo%20de%20Servicios%20FNA-3.md" TargetMode="External" /><Relationship Type="http://schemas.openxmlformats.org/officeDocument/2006/relationships/hyperlink" Id="rId89" Target="N005a.%20Vista%20de%20Integraci&#243;n%20FNA-2.md" TargetMode="External" /><Relationship Type="http://schemas.openxmlformats.org/officeDocument/2006/relationships/hyperlink" Id="rId96" Target="N005a.%20Vista%2de%2Integraci&#243;n%2FNA-1.md" TargetMode="External" /><Relationship Type="http://schemas.openxmlformats.org/officeDocument/2006/relationships/hyperlink" Id="rId95" Target="N007.%20Presentaci&#243;n%20del%20An&#225;lisis%20de%20Madurez-1" TargetMode="External" /><Relationship Type="http://schemas.openxmlformats.org/officeDocument/2006/relationships/hyperlink" Id="rId100" Target="N007.%20Presentaci&#243;n%20del%20An&#225;lisis%20de%20Madurez-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106" Target="https://stefaninilatam.sharepoint.com/:x:/s/PROYECTOARQUITECTURAE-SERVICEFNA/EaFAwvlljjhPtOMS6Px_BWAB3dCP0EfacSHo6jo0E441RQ?e=l45v7K"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2023-01-11T15:01:26Z</dcterms:created>
  <dcterms:modified xsi:type="dcterms:W3CDTF">2023-01-11T15:01:26Z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