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7"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1"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p>
      <w:pPr>
        <w:pStyle w:val="3"/>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Proceso</w:t>
            </w:r>
          </w:p>
        </w:tc>
        <w:tc>
          <w:tcPr/>
          <w:p>
            <w:pPr>
              <w:pStyle w:val="34"/>
              <w:jc w:val="left"/>
            </w:pPr>
            <w:r>
              <w:rPr>
                <w:bCs/>
                <w:b/>
              </w:rPr>
              <w:t xml:space="preserve">Aplicación</w:t>
            </w:r>
          </w:p>
        </w:tc>
        <w:tc>
          <w:tcPr/>
          <w:p>
            <w:pPr>
              <w:pStyle w:val="34"/>
              <w:jc w:val="left"/>
            </w:pPr>
            <w:r>
              <w:rPr>
                <w:bCs/>
                <w:b/>
              </w:rPr>
              <w:t xml:space="preserve">Canal</w:t>
            </w:r>
          </w:p>
        </w:tc>
      </w:tr>
      <w:tr>
        <w:tc>
          <w:tcPr/>
          <w:p>
            <w:pPr>
              <w:pStyle w:val="34"/>
              <w:jc w:val="left"/>
            </w:pPr>
            <w:r>
              <w:t xml:space="preserve">Facturación y Cartera</w:t>
            </w:r>
          </w:p>
        </w:tc>
        <w:tc>
          <w:tcPr/>
          <w:p>
            <w:pPr>
              <w:pStyle w:val="34"/>
              <w:jc w:val="left"/>
            </w:pPr>
            <w:r>
              <w:t xml:space="preserve">Abogados Externos</w:t>
            </w:r>
          </w:p>
        </w:tc>
        <w:tc>
          <w:tcPr/>
          <w:p>
            <w:pPr>
              <w:pStyle w:val="34"/>
              <w:jc w:val="left"/>
            </w:pPr>
            <w:r>
              <w:t xml:space="preserve">Internet</w:t>
            </w:r>
          </w:p>
        </w:tc>
      </w:tr>
      <w:tr>
        <w:tc>
          <w:tcPr/>
          <w:p>
            <w:pPr>
              <w:pStyle w:val="34"/>
              <w:jc w:val="left"/>
            </w:pPr>
            <w:r>
              <w:t xml:space="preserve">Facturación y Cartera</w:t>
            </w:r>
          </w:p>
        </w:tc>
        <w:tc>
          <w:tcPr/>
          <w:p>
            <w:pPr>
              <w:pStyle w:val="34"/>
              <w:jc w:val="left"/>
            </w:pPr>
            <w:r>
              <w:t xml:space="preserve">Adminfo cobranza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Adminfo crédito</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ASOCAJAS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Bogotá</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Occidente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Sudameris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Bancolombia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Cadena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Colpatria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Davivienda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Helm</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Aportes En Línea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Asopagos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Enlace Operativo</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Mi Planilla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Simple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SOI</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SuRed</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COBIS Cartera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COBIS Garantías</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Contingencia Banco de la Republica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Ecollect/Avisor/PSE</w:t>
            </w:r>
          </w:p>
        </w:tc>
        <w:tc>
          <w:tcPr/>
          <w:p>
            <w:pPr>
              <w:pStyle w:val="34"/>
              <w:jc w:val="left"/>
            </w:pPr>
            <w:r>
              <w:t xml:space="preserve">Internet</w:t>
            </w:r>
          </w:p>
        </w:tc>
      </w:tr>
    </w:tbl>
    <w:p>
      <w:pPr>
        <w:pStyle w:val="3"/>
      </w:pPr>
      <w:hyperlink r:id="rId40">
        <w:r>
          <w:rPr>
            <w:rStyle w:val="17"/>
          </w:rPr>
          <w:t xml:space="preserve">Tabla.</w:t>
        </w:r>
      </w:hyperlink>
      <w:r>
        <w:t xml:space="preserve"> </w:t>
      </w:r>
      <w:r>
        <w:t xml:space="preserve">Relaciones del proceso Facturación y Cartera del FNA.</w:t>
      </w:r>
    </w:p>
    <w:p>
      <w:pPr>
        <w:pStyle w:val="3"/>
      </w:pPr>
      <w:r>
        <w:rPr>
          <w:iCs/>
          <w:i/>
        </w:rPr>
        <w:t xml:space="preserve">Fuente: InventarioAplicacionesFNA.xlsx</w:t>
      </w:r>
    </w:p>
    <w:p>
      <w:pPr>
        <w:pStyle w:val="3"/>
      </w:pPr>
    </w:p>
    <w:bookmarkStart w:id="60" w:name="atención-2"/>
    <w:p>
      <w:pPr>
        <w:pStyle w:val="5"/>
      </w:pPr>
      <w:r>
        <w:t xml:space="preserve">Atención</w:t>
      </w:r>
    </w:p>
    <w:p>
      <w:pPr>
        <w:pStyle w:val="31"/>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w:t>
            </w:r>
          </w:p>
        </w:tc>
        <w:tc>
          <w:tcPr/>
          <w:p>
            <w:pPr>
              <w:pStyle w:val="34"/>
              <w:jc w:val="left"/>
            </w:pPr>
            <w:r>
              <w:rPr>
                <w:bCs/>
                <w:b/>
              </w:rPr>
              <w:t xml:space="preserve">Proceso</w:t>
            </w:r>
          </w:p>
        </w:tc>
      </w:tr>
      <w:tr>
        <w:tc>
          <w:tcPr/>
          <w:p>
            <w:pPr>
              <w:pStyle w:val="34"/>
              <w:jc w:val="left"/>
            </w:pPr>
            <w:r>
              <w:t xml:space="preserve">IDM</w:t>
            </w:r>
          </w:p>
        </w:tc>
        <w:tc>
          <w:tcPr/>
          <w:p>
            <w:pPr>
              <w:pStyle w:val="34"/>
              <w:jc w:val="left"/>
            </w:pPr>
            <w:r>
              <w:t xml:space="preserve">Sin proceso</w:t>
            </w:r>
          </w:p>
        </w:tc>
      </w:tr>
      <w:tr>
        <w:tc>
          <w:tcPr/>
          <w:p>
            <w:pPr>
              <w:pStyle w:val="34"/>
              <w:jc w:val="left"/>
            </w:pPr>
            <w:r>
              <w:t xml:space="preserve">FINAC</w:t>
            </w:r>
          </w:p>
        </w:tc>
        <w:tc>
          <w:tcPr/>
          <w:p>
            <w:pPr>
              <w:pStyle w:val="34"/>
              <w:jc w:val="left"/>
            </w:pPr>
            <w:r>
              <w:t xml:space="preserve">Sin proceso</w:t>
            </w:r>
          </w:p>
        </w:tc>
      </w:tr>
      <w:tr>
        <w:tc>
          <w:tcPr/>
          <w:p>
            <w:pPr>
              <w:pStyle w:val="34"/>
              <w:jc w:val="left"/>
            </w:pPr>
            <w:r>
              <w:t xml:space="preserve">GoAnyWhere</w:t>
            </w:r>
          </w:p>
        </w:tc>
        <w:tc>
          <w:tcPr/>
          <w:p>
            <w:pPr>
              <w:pStyle w:val="34"/>
              <w:jc w:val="left"/>
            </w:pPr>
            <w:r>
              <w:t xml:space="preserve">Sin proceso</w:t>
            </w:r>
          </w:p>
        </w:tc>
      </w:tr>
      <w:tr>
        <w:tc>
          <w:tcPr/>
          <w:p>
            <w:pPr>
              <w:pStyle w:val="34"/>
              <w:jc w:val="left"/>
            </w:pPr>
            <w:r>
              <w:t xml:space="preserve">ERP SAP</w:t>
            </w:r>
          </w:p>
        </w:tc>
        <w:tc>
          <w:tcPr/>
          <w:p>
            <w:pPr>
              <w:pStyle w:val="34"/>
              <w:jc w:val="left"/>
            </w:pPr>
            <w:r>
              <w:t xml:space="preserve">Sin proceso</w:t>
            </w:r>
          </w:p>
        </w:tc>
      </w:tr>
      <w:tr>
        <w:tc>
          <w:tcPr/>
          <w:p>
            <w:pPr>
              <w:pStyle w:val="34"/>
              <w:jc w:val="left"/>
            </w:pPr>
            <w:r>
              <w:t xml:space="preserve">ASOCAJAS</w:t>
            </w:r>
          </w:p>
        </w:tc>
        <w:tc>
          <w:tcPr/>
          <w:p>
            <w:pPr>
              <w:pStyle w:val="34"/>
              <w:jc w:val="left"/>
            </w:pPr>
            <w:r>
              <w:t xml:space="preserve">Sin proceso</w:t>
            </w:r>
          </w:p>
        </w:tc>
      </w:tr>
      <w:tr>
        <w:tc>
          <w:tcPr/>
          <w:p>
            <w:pPr>
              <w:pStyle w:val="34"/>
              <w:jc w:val="left"/>
            </w:pPr>
            <w:r>
              <w:t xml:space="preserve">WorkManager</w:t>
            </w:r>
          </w:p>
        </w:tc>
        <w:tc>
          <w:tcPr/>
          <w:p>
            <w:pPr>
              <w:pStyle w:val="34"/>
              <w:jc w:val="left"/>
            </w:pPr>
            <w:r>
              <w:t xml:space="preserve">Sin proceso</w:t>
            </w:r>
          </w:p>
        </w:tc>
      </w:tr>
      <w:tr>
        <w:tc>
          <w:tcPr/>
          <w:p>
            <w:pPr>
              <w:pStyle w:val="34"/>
              <w:jc w:val="left"/>
            </w:pPr>
            <w:r>
              <w:t xml:space="preserve">Banlinea</w:t>
            </w:r>
          </w:p>
        </w:tc>
        <w:tc>
          <w:tcPr/>
          <w:p>
            <w:pPr>
              <w:pStyle w:val="34"/>
              <w:jc w:val="left"/>
            </w:pPr>
            <w:r>
              <w:t xml:space="preserve">Sin proceso</w:t>
            </w:r>
          </w:p>
        </w:tc>
      </w:tr>
      <w:tr>
        <w:tc>
          <w:tcPr/>
          <w:p>
            <w:pPr>
              <w:pStyle w:val="34"/>
              <w:jc w:val="left"/>
            </w:pPr>
            <w:r>
              <w:t xml:space="preserve">Autenticación IVR</w:t>
            </w:r>
          </w:p>
        </w:tc>
        <w:tc>
          <w:tcPr/>
          <w:p>
            <w:pPr>
              <w:pStyle w:val="34"/>
              <w:jc w:val="left"/>
            </w:pPr>
            <w:r>
              <w:t xml:space="preserve">Sin proceso</w:t>
            </w:r>
          </w:p>
        </w:tc>
      </w:tr>
      <w:tr>
        <w:tc>
          <w:tcPr/>
          <w:p>
            <w:pPr>
              <w:pStyle w:val="34"/>
              <w:jc w:val="left"/>
            </w:pPr>
            <w:r>
              <w:t xml:space="preserve">OASIS</w:t>
            </w:r>
          </w:p>
        </w:tc>
        <w:tc>
          <w:tcPr/>
          <w:p>
            <w:pPr>
              <w:pStyle w:val="34"/>
              <w:jc w:val="left"/>
            </w:pPr>
            <w:r>
              <w:t xml:space="preserve">Sin proceso</w:t>
            </w:r>
          </w:p>
        </w:tc>
      </w:tr>
      <w:tr>
        <w:tc>
          <w:tcPr/>
          <w:p>
            <w:pPr>
              <w:pStyle w:val="34"/>
              <w:jc w:val="left"/>
            </w:pPr>
            <w:r>
              <w:t xml:space="preserve">GHumana</w:t>
            </w:r>
          </w:p>
        </w:tc>
        <w:tc>
          <w:tcPr/>
          <w:p>
            <w:pPr>
              <w:pStyle w:val="34"/>
              <w:jc w:val="left"/>
            </w:pPr>
            <w:r>
              <w:t xml:space="preserve">Sin proceso</w:t>
            </w:r>
          </w:p>
        </w:tc>
      </w:tr>
      <w:tr>
        <w:tc>
          <w:tcPr/>
          <w:p>
            <w:pPr>
              <w:pStyle w:val="34"/>
              <w:jc w:val="left"/>
            </w:pPr>
            <w:r>
              <w:t xml:space="preserve">Fondo En Linea Personas</w:t>
            </w:r>
          </w:p>
        </w:tc>
        <w:tc>
          <w:tcPr/>
          <w:p>
            <w:pPr>
              <w:pStyle w:val="34"/>
              <w:jc w:val="left"/>
            </w:pPr>
            <w:r>
              <w:t xml:space="preserve">Sin proceso</w:t>
            </w:r>
          </w:p>
        </w:tc>
      </w:tr>
      <w:tr>
        <w:tc>
          <w:tcPr/>
          <w:p>
            <w:pPr>
              <w:pStyle w:val="34"/>
              <w:jc w:val="left"/>
            </w:pPr>
            <w:r>
              <w:t xml:space="preserve">Fondo En Linea Empresarial</w:t>
            </w:r>
          </w:p>
        </w:tc>
        <w:tc>
          <w:tcPr/>
          <w:p>
            <w:pPr>
              <w:pStyle w:val="34"/>
              <w:jc w:val="left"/>
            </w:pPr>
            <w:r>
              <w:t xml:space="preserve">Sin proceso</w:t>
            </w:r>
          </w:p>
        </w:tc>
      </w:tr>
      <w:tr>
        <w:tc>
          <w:tcPr/>
          <w:p>
            <w:pPr>
              <w:pStyle w:val="34"/>
              <w:jc w:val="left"/>
            </w:pPr>
            <w:r>
              <w:t xml:space="preserve">COBIS REC</w:t>
            </w:r>
          </w:p>
        </w:tc>
        <w:tc>
          <w:tcPr/>
          <w:p>
            <w:pPr>
              <w:pStyle w:val="34"/>
              <w:jc w:val="left"/>
            </w:pPr>
            <w:r>
              <w:t xml:space="preserve">Sin proceso</w:t>
            </w:r>
          </w:p>
        </w:tc>
      </w:tr>
      <w:tr>
        <w:tc>
          <w:tcPr/>
          <w:p>
            <w:pPr>
              <w:pStyle w:val="34"/>
              <w:jc w:val="left"/>
            </w:pPr>
            <w:r>
              <w:t xml:space="preserve">COBIS Admin Referencias</w:t>
            </w:r>
          </w:p>
        </w:tc>
        <w:tc>
          <w:tcPr/>
          <w:p>
            <w:pPr>
              <w:pStyle w:val="34"/>
              <w:jc w:val="left"/>
            </w:pPr>
            <w:r>
              <w:t xml:space="preserve">Sin proceso</w:t>
            </w:r>
          </w:p>
        </w:tc>
      </w:tr>
      <w:tr>
        <w:tc>
          <w:tcPr/>
          <w:p>
            <w:pPr>
              <w:pStyle w:val="34"/>
              <w:jc w:val="left"/>
            </w:pPr>
            <w:r>
              <w:t xml:space="preserve">COBIS VisualBatch</w:t>
            </w:r>
          </w:p>
        </w:tc>
        <w:tc>
          <w:tcPr/>
          <w:p>
            <w:pPr>
              <w:pStyle w:val="34"/>
              <w:jc w:val="left"/>
            </w:pPr>
            <w:r>
              <w:t xml:space="preserve">Sin proceso</w:t>
            </w:r>
          </w:p>
        </w:tc>
      </w:tr>
      <w:tr>
        <w:tc>
          <w:tcPr/>
          <w:p>
            <w:pPr>
              <w:pStyle w:val="34"/>
              <w:jc w:val="left"/>
            </w:pPr>
            <w:r>
              <w:t xml:space="preserve">COBIS Contabilidad</w:t>
            </w:r>
          </w:p>
        </w:tc>
        <w:tc>
          <w:tcPr/>
          <w:p>
            <w:pPr>
              <w:pStyle w:val="34"/>
              <w:jc w:val="left"/>
            </w:pPr>
            <w:r>
              <w:t xml:space="preserve">Sin proceso</w:t>
            </w:r>
          </w:p>
        </w:tc>
      </w:tr>
      <w:tr>
        <w:tc>
          <w:tcPr/>
          <w:p>
            <w:pPr>
              <w:pStyle w:val="34"/>
              <w:jc w:val="left"/>
            </w:pPr>
            <w:r>
              <w:t xml:space="preserve">COBIS Presupuesto</w:t>
            </w:r>
          </w:p>
        </w:tc>
        <w:tc>
          <w:tcPr/>
          <w:p>
            <w:pPr>
              <w:pStyle w:val="34"/>
              <w:jc w:val="left"/>
            </w:pPr>
            <w:r>
              <w:t xml:space="preserve">Sin proceso</w:t>
            </w:r>
          </w:p>
        </w:tc>
      </w:tr>
      <w:tr>
        <w:tc>
          <w:tcPr/>
          <w:p>
            <w:pPr>
              <w:pStyle w:val="34"/>
              <w:jc w:val="left"/>
            </w:pPr>
            <w:r>
              <w:t xml:space="preserve">COBIS Admin Seguridad</w:t>
            </w:r>
          </w:p>
        </w:tc>
        <w:tc>
          <w:tcPr/>
          <w:p>
            <w:pPr>
              <w:pStyle w:val="34"/>
              <w:jc w:val="left"/>
            </w:pPr>
            <w:r>
              <w:t xml:space="preserve">Sin proceso</w:t>
            </w:r>
          </w:p>
        </w:tc>
      </w:tr>
      <w:tr>
        <w:tc>
          <w:tcPr/>
          <w:p>
            <w:pPr>
              <w:pStyle w:val="34"/>
              <w:jc w:val="left"/>
            </w:pPr>
            <w:r>
              <w:t xml:space="preserve">Mi vivienda en linea / Vitrina virtual</w:t>
            </w:r>
          </w:p>
        </w:tc>
        <w:tc>
          <w:tcPr/>
          <w:p>
            <w:pPr>
              <w:pStyle w:val="34"/>
              <w:jc w:val="left"/>
            </w:pPr>
            <w:r>
              <w:t xml:space="preserve">Sin proceso</w:t>
            </w:r>
          </w:p>
        </w:tc>
      </w:tr>
    </w:tbl>
    <w:p>
      <w:pPr>
        <w:pStyle w:val="3"/>
      </w:pPr>
      <w:hyperlink r:id="rId40">
        <w:r>
          <w:rPr>
            <w:rStyle w:val="17"/>
          </w:rPr>
          <w:t xml:space="preserve">Tabla.</w:t>
        </w:r>
      </w:hyperlink>
      <w:r>
        <w:t xml:space="preserve"> </w:t>
      </w:r>
      <w:r>
        <w:t xml:space="preserve">Apliaciones del FNA sin relaciones con procesos.</w:t>
      </w:r>
    </w:p>
    <w:p>
      <w:pPr>
        <w:pStyle w:val="3"/>
      </w:pPr>
      <w:r>
        <w:rPr>
          <w:iCs/>
          <w:i/>
        </w:rPr>
        <w:t xml:space="preserve">Fuente: InventarioAplicacionesFNA.xlsx</w:t>
      </w:r>
    </w:p>
    <w:bookmarkEnd w:id="60"/>
    <w:bookmarkEnd w:id="61"/>
    <w:bookmarkStart w:id="62"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3"/>
    <w:bookmarkStart w:id="84"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4">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9">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3">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4">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5">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6">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7">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8">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9">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80">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1">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2">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3">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4"/>
    <w:bookmarkStart w:id="85"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5"/>
    <w:bookmarkStart w:id="86"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6"/>
    <w:bookmarkStart w:id="87"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7"/>
    <w:bookmarkStart w:id="88"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9">
              <w:r>
                <w:rPr>
                  <w:rStyle w:val="17"/>
                </w:rPr>
                <w:t xml:space="preserve">N005a. Vista de Integración FNA-2</w:t>
              </w:r>
            </w:hyperlink>
          </w:p>
        </w:tc>
      </w:tr>
    </w:tbl>
    <w:p>
      <w:pPr>
        <w:pStyle w:val="3"/>
      </w:pPr>
    </w:p>
    <w:bookmarkEnd w:id="90"/>
    <w:bookmarkStart w:id="93"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91"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91"/>
    <w:bookmarkStart w:id="92"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2"/>
    <w:bookmarkEnd w:id="93"/>
    <w:bookmarkStart w:id="96" w:name="anexos"/>
    <w:p>
      <w:pPr>
        <w:pStyle w:val="4"/>
      </w:pPr>
      <w:r>
        <w:t xml:space="preserve">Anexos</w:t>
      </w:r>
    </w:p>
    <w:bookmarkStart w:id="94"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4"/>
    <w:bookmarkStart w:id="95"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5"/>
    <w:bookmarkEnd w:id="96"/>
    <w:bookmarkEnd w:id="9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2023-01-10T23:23:33Z</dcterms:created>
  <dcterms:modified xsi:type="dcterms:W3CDTF">2023-01-10T23:23:33Z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