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cdb97ab41aaedb143d220b8afedf4ab1b3f394"/>
    <w:p>
      <w:pPr>
        <w:pStyle w:val="Ttulo4"/>
      </w:pPr>
      <w:r>
        <w:t xml:space="preserve">PR9. Portafolio de iniciativas y brechas (Deliverable)</w:t>
      </w:r>
    </w:p>
    <w:bookmarkEnd w:id="20"/>
    <w:bookmarkStart w:id="21" w:name="fase-2-soa-objetivo"/>
    <w:p>
      <w:pPr>
        <w:pStyle w:val="Ttulo1"/>
      </w:pPr>
      <w:r>
        <w:t xml:space="preserve">Fase 2: SOA Objetivo</w:t>
      </w:r>
    </w:p>
    <w:bookmarkEnd w:id="21"/>
    <w:bookmarkStart w:id="22" w:name="Xde28353806a99316a61e306cd812fd556109b6d"/>
    <w:p>
      <w:pPr>
        <w:pStyle w:val="Ttulo1"/>
      </w:pPr>
      <w:r>
        <w:t xml:space="preserve">Contenido de los Productos Contractuales, 181-2020</w:t>
      </w:r>
    </w:p>
    <w:bookmarkEnd w:id="22"/>
    <w:bookmarkStart w:id="27"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cambios aplicables a la situación actual SOA (Fase 1 del proyecto) desde una perspectiva de proyectos ejecutables.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 hoja de ruta SOA del FNA (producto 10 de esta fase), y cuya ejecución cerrará las brechas ente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4" w:name="justificación"/>
    <w:p>
      <w:pPr>
        <w:pStyle w:val="Ttulo2"/>
      </w:pPr>
      <w:r>
        <w:t xml:space="preserve">Justificación</w:t>
      </w:r>
    </w:p>
    <w:p>
      <w:pPr>
        <w:pStyle w:val="FirstParagraph"/>
      </w:pPr>
      <w:r>
        <w:t xml:space="preserve">Asegurar que la arquitectura SOA del Fondo apegada a la</w:t>
      </w:r>
      <w:r>
        <w:t xml:space="preserve"> </w:t>
      </w:r>
      <w:hyperlink r:id="rId23">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24"/>
    <w:bookmarkStart w:id="25" w:name="contenidos"/>
    <w:p>
      <w:pPr>
        <w:pStyle w:val="Ttulo2"/>
      </w:pPr>
      <w:r>
        <w:t xml:space="preserve">Contenidos</w:t>
      </w:r>
    </w:p>
    <w:p>
      <w:pPr>
        <w:numPr>
          <w:ilvl w:val="0"/>
          <w:numId w:val="1001"/>
        </w:numPr>
        <w:pStyle w:val="Compact"/>
      </w:pPr>
      <w:r>
        <w:t xml:space="preserve">Bloques de cambios para el segmento FNA: ítems por retener, rediseñar, actualizar, retirar</w:t>
      </w:r>
    </w:p>
    <w:p>
      <w:pPr>
        <w:numPr>
          <w:ilvl w:val="0"/>
          <w:numId w:val="1001"/>
        </w:numPr>
        <w:pStyle w:val="Compact"/>
      </w:pPr>
      <w:r>
        <w:t xml:space="preserve">Matriz de brechas de las partes del segmento FNA</w:t>
      </w:r>
    </w:p>
    <w:p>
      <w:pPr>
        <w:numPr>
          <w:ilvl w:val="0"/>
          <w:numId w:val="1001"/>
        </w:numPr>
        <w:pStyle w:val="Compact"/>
      </w:pPr>
      <w:r>
        <w:t xml:space="preserve">Análisis de impacto y dependencia entre los cambios en el segmento de la empresa</w:t>
      </w:r>
    </w:p>
    <w:p>
      <w:pPr>
        <w:numPr>
          <w:ilvl w:val="0"/>
          <w:numId w:val="1001"/>
        </w:numPr>
        <w:pStyle w:val="Compact"/>
      </w:pPr>
      <w:r>
        <w:t xml:space="preserve">Ficha descriptiva de iniciativas de mejora para el segmento FNA (justificación)</w:t>
      </w:r>
    </w:p>
    <w:p>
      <w:pPr>
        <w:pStyle w:val="FirstParagraph"/>
      </w:pPr>
    </w:p>
    <w:bookmarkEnd w:id="25"/>
    <w:bookmarkStart w:id="26"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23"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2023-02-07T19:55:57Z</dcterms:created>
  <dcterms:modified xsi:type="dcterms:W3CDTF">2023-02-07T19:55:57Z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