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cc376ce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p>
      <w:pPr>
        <w:pStyle w:val="Textoindependiente"/>
      </w:pPr>
    </w:p>
    <w:bookmarkEnd w:id="26"/>
    <w:bookmarkStart w:id="27" w:name="X2d77db18069ae4a22ab9ccba9b0a56290d33310"/>
    <w:p>
      <w:pPr>
        <w:pStyle w:val="Ttulo3"/>
      </w:pPr>
      <w:r>
        <w:t xml:space="preserve">Procedimiento para la Gestión de las Brechas FNA</w:t>
      </w:r>
    </w:p>
    <w:p>
      <w:pPr>
        <w:pStyle w:val="FirstParagraph"/>
      </w:pPr>
      <w:r>
        <w:t xml:space="preserve">…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2023-02-20T19:24:08Z</dcterms:created>
  <dcterms:modified xsi:type="dcterms:W3CDTF">2023-02-20T19:24:08Z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