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2ea838e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p>
      <w:pPr>
        <w:pStyle w:val="Textoindependiente"/>
      </w:pPr>
    </w:p>
    <w:bookmarkEnd w:id="26"/>
    <w:bookmarkStart w:id="27" w:name="X794d8800454661f8f3ed40cfd2ba7b0eba61722"/>
    <w:p>
      <w:pPr>
        <w:pStyle w:val="Ttulo3"/>
      </w:pPr>
      <w:r>
        <w:t xml:space="preserve">Pasos del Método de Anålisis de Brechas FNA</w:t>
      </w:r>
    </w:p>
    <w:p>
      <w:pPr>
        <w:pStyle w:val="FirstParagraph"/>
      </w:pPr>
      <w:r>
        <w:t xml:space="preserve">Este método inicia por la matrix de brechas, sea por dominio o perspectiva de arquitectura. La matriz presenta una comparación y las diferencias entre las arquitecturas SOA del FNA, versión 1 y 2 respectivamente desde un dominio o perspectiva particular, por ejemplo, negocio, aplicaciones, datos, Crédito, Cartera, flexibilidad, etc. Los ítems de esa perspectiva son contrastados entre ambas versiones para obtener elementos de cierre a los que llamaremos brechas.</w:t>
      </w:r>
    </w:p>
    <w:p>
      <w:pPr>
        <w:pStyle w:val="Textoindependiente"/>
      </w:pPr>
      <w:r>
        <w:t xml:space="preserve">El siguiente paso es hacer una lista de las iniciativas y proyectos de cierre de brechas y documentarlas en el repositorio SOA del FNA. Esta lista de cambios a la arquitectura es por un lado, una arquitectura de transición en sí misma, y es también una herramienta para agrupar y priorizar los impactos de cambios en el Fondo.</w:t>
      </w:r>
    </w:p>
    <w:p>
      <w:pPr>
        <w:pStyle w:val="Textoindependiente"/>
      </w:pPr>
      <w:r>
        <w:t xml:space="preserve">Este último es precisamente el tercer paso: agrupar y priorizar las brechas en tareas y proyectos.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2023-02-20T19:57:12Z</dcterms:created>
  <dcterms:modified xsi:type="dcterms:W3CDTF">2023-02-20T19:57:12Z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