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2917750 del 31 Aug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8"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20">
        <w:r>
          <w:rPr>
            <w:rStyle w:val="Hipervnculo"/>
          </w:rPr>
          <w:t xml:space="preserve">04b.Resumen Fase 1</w:t>
        </w:r>
      </w:hyperlink>
      <w:r>
        <w:t xml:space="preserve">). Este análisis de brecha busca dos onjetivos concretos.</w:t>
      </w:r>
    </w:p>
    <w:p>
      <w:pPr>
        <w:pStyle w:val="Textoindependiente"/>
      </w:pPr>
    </w:p>
    <w:bookmarkStart w:id="21"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1"/>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1"/>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21"/>
    <w:bookmarkStart w:id="26"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23" name="Picture"/>
            <a:graphic>
              <a:graphicData uri="http://schemas.openxmlformats.org/drawingml/2006/picture">
                <pic:pic>
                  <pic:nvPicPr>
                    <pic:cNvPr descr="images/brecha1.png" id="24" name="Picture"/>
                    <pic:cNvPicPr>
                      <a:picLocks noChangeArrowheads="1" noChangeAspect="1"/>
                    </pic:cNvPicPr>
                  </pic:nvPicPr>
                  <pic:blipFill>
                    <a:blip r:embed="rId22"/>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26"/>
    <w:bookmarkStart w:id="27"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2023-08-31T15:51:41Z</dcterms:created>
  <dcterms:modified xsi:type="dcterms:W3CDTF">2023-08-31T15:51:41Z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