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Matriz de brechas de arquitectura SOA candidata del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5fb6db0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704090cda0c11b61e04e379150c37ee0e4f69c2"/>
    <w:p>
      <w:pPr>
        <w:pStyle w:val="Ttulo2"/>
      </w:pPr>
      <w:r>
        <w:t xml:space="preserve">Matriz de brechas de arquitectura SOA candidata del segmento FNA</w:t>
      </w:r>
    </w:p>
    <w:p>
      <w:pPr>
        <w:pStyle w:val="FirstParagraph"/>
      </w:pPr>
      <w:r>
        <w:t xml:space="preserve">Los análisis siguientes corresponden a cambios de cierre de brechas respecto al contexto de flexibilidad de negocio. Es decir, los cambios analizados abajo están asociados al contexto de flexibilidad de negocio, y por tanto, aportan a este. Dicho de otra manera, las brechas descritos a continuación son necesarios para mejorar la flexibilidad de negocio.</w:t>
      </w:r>
    </w:p>
    <w:p>
      <w:pPr>
        <w:pStyle w:val="Textoindependiente"/>
      </w:pPr>
    </w:p>
    <w:bookmarkEnd w:id="21"/>
    <w:bookmarkStart w:id="26" w:name="Xc1867a14b53a4d72ff95cf1bc5ad658b411f28d"/>
    <w:p>
      <w:pPr>
        <w:pStyle w:val="Ttulo2"/>
      </w:pPr>
      <w:r>
        <w:t xml:space="preserve">Análisis de Brecha Crédito Constructor. Contexto Flexibilidad de Negocio</w:t>
      </w:r>
    </w:p>
    <w:p>
      <w:pPr>
        <w:pStyle w:val="Figure"/>
      </w:pPr>
      <w:r>
        <w:drawing>
          <wp:inline>
            <wp:extent cx="5600700" cy="441771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brechaCreditoCostructor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1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Partes de la arquitectura de Crédito Constructor impactados por el análisis de brecha en el contexto de flexibilidad de negocio.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p>
      <w:pPr>
        <w:pStyle w:val="Textoindependiente"/>
      </w:pPr>
      <w:r>
        <w:t xml:space="preserve">Las partes impactadas por el análisis de brecha en el contexto de flexibilidad de negocio que deben ser sustituidas por API indicadas en la arquitectura de SOA 2.0 del FNA, o arquiotectura de candidata 2.0 son los indicados con actualización en la siguiente tabla.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12"/>
        <w:gridCol w:w="2576"/>
        <w:gridCol w:w="14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brecha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ESB-IBM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FrameWork ESB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Tecnologia SOAP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Bizagi IBM (java)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Cuadro de ventas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Cuadro Ventas CCP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Cuadro de Ventas CCP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Bizagi IBM (java)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CapaSoa 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2023-02-22T12:58:30Z</dcterms:created>
  <dcterms:modified xsi:type="dcterms:W3CDTF">2023-02-22T12:58:30Z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