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jpg" ContentType="image/jpeg"/>
  <Override PartName="/word/media/rId2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Portafolio de iniciativas y brechas:</w:t>
            </w:r>
            <w:r>
              <w:t xml:space="preserve"> </w:t>
            </w:r>
            <w:r>
              <w:rPr>
                <w:bCs/>
                <w:b/>
              </w:rPr>
              <w:t xml:space="preserve">Matriz de brechas de arquitectura SOA candidata del segmento FNA</w:t>
            </w:r>
          </w:p>
        </w:tc>
      </w:tr>
      <w:tr>
        <w:tc>
          <w:tcPr/>
          <w:p>
            <w:pPr>
              <w:pStyle w:val="Compact"/>
              <w:jc w:val="left"/>
            </w:pPr>
            <w:r>
              <w:t xml:space="preserve">Palabras clave</w:t>
            </w:r>
          </w:p>
        </w:tc>
        <w:tc>
          <w:tcPr/>
          <w:p>
            <w:pPr>
              <w:pStyle w:val="Compact"/>
              <w:jc w:val="left"/>
            </w:pPr>
            <w:r>
              <w:t xml:space="preserve">SOA,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3267ee0 del 23 Feb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1" w:name="X704090cda0c11b61e04e379150c37ee0e4f69c2"/>
    <w:p>
      <w:pPr>
        <w:pStyle w:val="Ttulo2"/>
      </w:pPr>
      <w:r>
        <w:t xml:space="preserve">Matriz de brechas de arquitectura SOA candidata del segmento FNA</w:t>
      </w:r>
    </w:p>
    <w:p>
      <w:pPr>
        <w:pStyle w:val="FirstParagraph"/>
      </w:pPr>
      <w:r>
        <w:t xml:space="preserve">Los análisis siguientes corresponden a la descripción de los elementos de cierre de brechas del FNA</w:t>
      </w:r>
      <w:r>
        <w:t xml:space="preserve"> </w:t>
      </w:r>
      <w:r>
        <w:rPr>
          <w:iCs/>
          <w:i/>
        </w:rPr>
        <w:t xml:space="preserve">respecto al contexto de flexibilidad de negocio</w:t>
      </w:r>
      <w:r>
        <w:t xml:space="preserve">. Es decir, los cambios analizados abajo están asociados al contexto de flexibilidad de negocio, y por tanto, aportan a este, y por ende, a la empresa FNA. Dicho de otra manera, las brechas descritos a continuación son necesarios para mejorar la flexibilidad de negocio del segmento de empresa FNA objeto de este diagnóstico.</w:t>
      </w:r>
    </w:p>
    <w:p>
      <w:pPr>
        <w:pStyle w:val="Textoindependiente"/>
      </w:pPr>
    </w:p>
    <w:bookmarkEnd w:id="21"/>
    <w:bookmarkStart w:id="26" w:name="Xc1867a14b53a4d72ff95cf1bc5ad658b411f28d"/>
    <w:p>
      <w:pPr>
        <w:pStyle w:val="Ttulo2"/>
      </w:pPr>
      <w:r>
        <w:t xml:space="preserve">Análisis de Brecha Crédito Constructor. Contexto Flexibilidad de Negocio</w:t>
      </w:r>
    </w:p>
    <w:p>
      <w:pPr>
        <w:pStyle w:val="Figure"/>
      </w:pPr>
      <w:r>
        <w:drawing>
          <wp:inline>
            <wp:extent cx="5600700" cy="4417713"/>
            <wp:effectExtent b="0" l="0" r="0" t="0"/>
            <wp:docPr descr="" title="" id="23" name="Picture"/>
            <a:graphic>
              <a:graphicData uri="http://schemas.openxmlformats.org/drawingml/2006/picture">
                <pic:pic>
                  <pic:nvPicPr>
                    <pic:cNvPr descr="images/brechaCreditoCostructor.jpg" id="24" name="Picture"/>
                    <pic:cNvPicPr>
                      <a:picLocks noChangeArrowheads="1" noChangeAspect="1"/>
                    </pic:cNvPicPr>
                  </pic:nvPicPr>
                  <pic:blipFill>
                    <a:blip r:embed="rId22"/>
                    <a:stretch>
                      <a:fillRect/>
                    </a:stretch>
                  </pic:blipFill>
                  <pic:spPr bwMode="auto">
                    <a:xfrm>
                      <a:off x="0" y="0"/>
                      <a:ext cx="5600700" cy="441771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 Crédito Constructor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 Crédito Constructor en el contexto de flexibilidad de negocio, y que por razón de este deben ser sustituidas por API indicadas en la arquitectura de SOA 2.0 del FNA son los indicados con actualización en la siguiente tabla.</w:t>
      </w:r>
    </w:p>
    <w:tbl>
      <w:tblPr>
        <w:tblStyle w:val="Table"/>
        <w:tblW w:type="pct" w:w="5000"/>
        <w:tblLook w:firstRow="1" w:lastRow="0" w:firstColumn="0" w:lastColumn="0" w:noHBand="0" w:noVBand="0" w:val="0020"/>
      </w:tblPr>
      <w:tblGrid>
        <w:gridCol w:w="3912"/>
        <w:gridCol w:w="2576"/>
        <w:gridCol w:w="1431"/>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Adaptador Integración Cobis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FrameWork ESB</w:t>
            </w:r>
          </w:p>
        </w:tc>
        <w:tc>
          <w:tcPr/>
          <w:p>
            <w:pPr>
              <w:pStyle w:val="Compact"/>
              <w:jc w:val="left"/>
            </w:pPr>
            <w:r>
              <w:t xml:space="preserve">application-collaboration</w:t>
            </w:r>
          </w:p>
        </w:tc>
        <w:tc>
          <w:tcPr/>
          <w:p>
            <w:pPr>
              <w:pStyle w:val="Compact"/>
            </w:pPr>
          </w:p>
        </w:tc>
      </w:tr>
      <w:tr>
        <w:tc>
          <w:tcPr/>
          <w:p>
            <w:pPr>
              <w:pStyle w:val="Compact"/>
              <w:jc w:val="left"/>
            </w:pPr>
            <w:r>
              <w:t xml:space="preserve">Adaptador Tecnologia SOAP</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Bizagi IBM (java)</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Adaptador Integración Cuadro de ventas</w:t>
            </w:r>
          </w:p>
        </w:tc>
        <w:tc>
          <w:tcPr/>
          <w:p>
            <w:pPr>
              <w:pStyle w:val="Compact"/>
              <w:jc w:val="left"/>
            </w:pPr>
            <w:r>
              <w:t xml:space="preserve">application-component</w:t>
            </w:r>
          </w:p>
        </w:tc>
        <w:tc>
          <w:tcPr/>
          <w:p>
            <w:pPr>
              <w:pStyle w:val="Compact"/>
              <w:jc w:val="left"/>
            </w:pPr>
            <w:r>
              <w:t xml:space="preserve">sustitución</w:t>
            </w:r>
          </w:p>
        </w:tc>
      </w:tr>
      <w:tr>
        <w:tc>
          <w:tcPr/>
          <w:p>
            <w:pPr>
              <w:pStyle w:val="Compact"/>
              <w:jc w:val="left"/>
            </w:pPr>
            <w:r>
              <w:t xml:space="preserve">Cobis</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Cobis</w:t>
            </w:r>
          </w:p>
        </w:tc>
        <w:tc>
          <w:tcPr/>
          <w:p>
            <w:pPr>
              <w:pStyle w:val="Compact"/>
              <w:jc w:val="left"/>
            </w:pPr>
            <w:r>
              <w:t xml:space="preserve">application-service</w:t>
            </w:r>
          </w:p>
        </w:tc>
        <w:tc>
          <w:tcPr/>
          <w:p>
            <w:pPr>
              <w:pStyle w:val="Compact"/>
            </w:pPr>
          </w:p>
        </w:tc>
      </w:tr>
      <w:tr>
        <w:tc>
          <w:tcPr/>
          <w:p>
            <w:pPr>
              <w:pStyle w:val="Compact"/>
              <w:jc w:val="left"/>
            </w:pPr>
            <w:r>
              <w:t xml:space="preserve">Cuadro Ventas CCP</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Cuadro de Ventas CCP</w:t>
            </w:r>
          </w:p>
        </w:tc>
        <w:tc>
          <w:tcPr/>
          <w:p>
            <w:pPr>
              <w:pStyle w:val="Compact"/>
              <w:jc w:val="left"/>
            </w:pPr>
            <w:r>
              <w:t xml:space="preserve">application-service</w:t>
            </w:r>
          </w:p>
        </w:tc>
        <w:tc>
          <w:tcPr/>
          <w:p>
            <w:pPr>
              <w:pStyle w:val="Compact"/>
            </w:pPr>
          </w:p>
        </w:tc>
      </w:tr>
      <w:tr>
        <w:tc>
          <w:tcPr/>
          <w:p>
            <w:pPr>
              <w:pStyle w:val="Compact"/>
              <w:jc w:val="left"/>
            </w:pPr>
            <w:r>
              <w:t xml:space="preserve">Bizagi IBM (java)</w:t>
            </w:r>
          </w:p>
        </w:tc>
        <w:tc>
          <w:tcPr/>
          <w:p>
            <w:pPr>
              <w:pStyle w:val="Compact"/>
              <w:jc w:val="left"/>
            </w:pPr>
            <w:r>
              <w:t xml:space="preserve">application-component</w:t>
            </w:r>
          </w:p>
        </w:tc>
        <w:tc>
          <w:tcPr/>
          <w:p>
            <w:pPr>
              <w:pStyle w:val="Compact"/>
              <w:jc w:val="left"/>
            </w:pPr>
            <w:r>
              <w:t xml:space="preserve">actualizacion</w:t>
            </w:r>
          </w:p>
        </w:tc>
      </w:tr>
      <w:tr>
        <w:tc>
          <w:tcPr/>
          <w:p>
            <w:pPr>
              <w:pStyle w:val="Compact"/>
              <w:jc w:val="left"/>
            </w:pPr>
            <w:r>
              <w:t xml:space="preserve">Servicios CapaSoa Bizagi</w:t>
            </w:r>
          </w:p>
        </w:tc>
        <w:tc>
          <w:tcPr/>
          <w:p>
            <w:pPr>
              <w:pStyle w:val="Compact"/>
              <w:jc w:val="left"/>
            </w:pPr>
            <w:r>
              <w:t xml:space="preserve">application-service</w:t>
            </w:r>
          </w:p>
        </w:tc>
        <w:tc>
          <w:tcPr/>
          <w:p>
            <w:pPr>
              <w:pStyle w:val="Compact"/>
            </w:pPr>
          </w:p>
        </w:tc>
      </w:tr>
    </w:tbl>
    <w:p>
      <w:pPr>
        <w:pStyle w:val="Textoindependiente"/>
      </w:pPr>
    </w:p>
    <w:bookmarkEnd w:id="26"/>
    <w:bookmarkStart w:id="30" w:name="X1e848f26414422bd72265b25172e0db35cb0bbf"/>
    <w:p>
      <w:pPr>
        <w:pStyle w:val="Ttulo2"/>
      </w:pPr>
      <w:r>
        <w:t xml:space="preserve">Análisis de Brecha Bus de Datos Empresarial. Contexto Flexibilidad de Negocio</w:t>
      </w:r>
    </w:p>
    <w:p>
      <w:pPr>
        <w:pStyle w:val="FirstParagraph"/>
      </w:pPr>
      <w:r>
        <w:t xml:space="preserve">Siguiendo la misma intención de introducir las API (arquitectura candidata SOA, 2.0 del FNA) para aumentar la flexibilidad de negocio, esta vez, en el bus de datos de la empresa, este debe transicionar de adaptadores particulares a API estándares de nivel funcional. Nota: el cambio de adaptadores por API implica, y puede que con mayor profundidad, a los consumidores de estos adaptadores.</w:t>
      </w:r>
    </w:p>
    <w:p>
      <w:pPr>
        <w:pStyle w:val="Figure"/>
      </w:pPr>
      <w:r>
        <w:drawing>
          <wp:inline>
            <wp:extent cx="5600700" cy="3278163"/>
            <wp:effectExtent b="0" l="0" r="0" t="0"/>
            <wp:docPr descr="" title="" id="28" name="Picture"/>
            <a:graphic>
              <a:graphicData uri="http://schemas.openxmlformats.org/drawingml/2006/picture">
                <pic:pic>
                  <pic:nvPicPr>
                    <pic:cNvPr descr="images/brechaESBFNA.jpg" id="29" name="Picture"/>
                    <pic:cNvPicPr>
                      <a:picLocks noChangeArrowheads="1" noChangeAspect="1"/>
                    </pic:cNvPicPr>
                  </pic:nvPicPr>
                  <pic:blipFill>
                    <a:blip r:embed="rId27"/>
                    <a:stretch>
                      <a:fillRect/>
                    </a:stretch>
                  </pic:blipFill>
                  <pic:spPr bwMode="auto">
                    <a:xfrm>
                      <a:off x="0" y="0"/>
                      <a:ext cx="5600700" cy="3278163"/>
                    </a:xfrm>
                    <a:prstGeom prst="rect">
                      <a:avLst/>
                    </a:prstGeom>
                    <a:noFill/>
                    <a:ln w="9525">
                      <a:noFill/>
                      <a:headEnd/>
                      <a:tailEnd/>
                    </a:ln>
                  </pic:spPr>
                </pic:pic>
              </a:graphicData>
            </a:graphic>
          </wp:inline>
        </w:drawing>
      </w:r>
    </w:p>
    <w:p>
      <w:pPr>
        <w:pStyle w:val="FirstParagraph"/>
      </w:pPr>
      <w:hyperlink r:id="rId25">
        <w:r>
          <w:rPr>
            <w:rStyle w:val="Hipervnculo"/>
          </w:rPr>
          <w:t xml:space="preserve">Imagen 1.</w:t>
        </w:r>
      </w:hyperlink>
      <w:r>
        <w:t xml:space="preserve"> </w:t>
      </w:r>
      <w:r>
        <w:t xml:space="preserve">Partes de la arquitectura del bus de datos del FNA (ESB IBM) impactados por el análisis de brecha en el contexto de flexibilidad de negocio.</w:t>
      </w:r>
    </w:p>
    <w:p>
      <w:pPr>
        <w:pStyle w:val="Textoindependiente"/>
      </w:pPr>
      <w:r>
        <w:rPr>
          <w:iCs/>
          <w:i/>
        </w:rPr>
        <w:t xml:space="preserve">Fuente: ae_fna_as_is.archimate.</w:t>
      </w:r>
    </w:p>
    <w:p>
      <w:pPr>
        <w:pStyle w:val="Textoindependiente"/>
      </w:pPr>
    </w:p>
    <w:p>
      <w:pPr>
        <w:pStyle w:val="Textoindependiente"/>
      </w:pPr>
      <w:r>
        <w:t xml:space="preserve">Las partes impactadas por el análisis de brecha de la arquitectura del bus de datos del FNA (ESB IBM) en el contexto de flexibilidad de negocio, y que por razón de este deben ser intervenidas por API, quereridas en la arquitectura SOA 2.0 del Fondo, son los indicados en la siguiente tabla, columna</w:t>
      </w:r>
      <w:r>
        <w:t xml:space="preserve"> </w:t>
      </w:r>
      <w:r>
        <w:t xml:space="preserve">‘</w:t>
      </w:r>
      <w:r>
        <w:t xml:space="preserve">brecha</w:t>
      </w:r>
      <w:r>
        <w:t xml:space="preserve">’</w:t>
      </w:r>
      <w:r>
        <w:t xml:space="preserve">.</w:t>
      </w:r>
    </w:p>
    <w:tbl>
      <w:tblPr>
        <w:tblStyle w:val="Table"/>
        <w:tblW w:type="pct" w:w="5000"/>
        <w:tblLook w:firstRow="1" w:lastRow="0" w:firstColumn="0" w:lastColumn="0" w:noHBand="0" w:noVBand="0" w:val="0020"/>
      </w:tblPr>
      <w:tblGrid>
        <w:gridCol w:w="4264"/>
        <w:gridCol w:w="2349"/>
        <w:gridCol w:w="1305"/>
      </w:tblGrid>
      <w:tr>
        <w:trPr>
          <w:tblHeader w:val="true"/>
        </w:trPr>
        <w:tc>
          <w:tcPr/>
          <w:p>
            <w:pPr>
              <w:pStyle w:val="Compact"/>
              <w:jc w:val="left"/>
            </w:pPr>
            <w:r>
              <w:rPr>
                <w:bCs/>
                <w:b/>
              </w:rPr>
              <w:t xml:space="preserve">nombre</w:t>
            </w:r>
          </w:p>
        </w:tc>
        <w:tc>
          <w:tcPr/>
          <w:p>
            <w:pPr>
              <w:pStyle w:val="Compact"/>
              <w:jc w:val="left"/>
            </w:pPr>
            <w:r>
              <w:rPr>
                <w:bCs/>
                <w:b/>
              </w:rPr>
              <w:t xml:space="preserve">tipo</w:t>
            </w:r>
          </w:p>
        </w:tc>
        <w:tc>
          <w:tcPr/>
          <w:p>
            <w:pPr>
              <w:pStyle w:val="Compact"/>
              <w:jc w:val="left"/>
            </w:pPr>
            <w:r>
              <w:rPr>
                <w:bCs/>
                <w:b/>
              </w:rPr>
              <w:t xml:space="preserve">brecha</w:t>
            </w:r>
          </w:p>
        </w:tc>
      </w:tr>
      <w:tr>
        <w:tc>
          <w:tcPr/>
          <w:p>
            <w:pPr>
              <w:pStyle w:val="Compact"/>
              <w:jc w:val="left"/>
            </w:pPr>
            <w:r>
              <w:t xml:space="preserve">ESB-IBM</w:t>
            </w:r>
          </w:p>
        </w:tc>
        <w:tc>
          <w:tcPr/>
          <w:p>
            <w:pPr>
              <w:pStyle w:val="Compact"/>
              <w:jc w:val="left"/>
            </w:pPr>
            <w:r>
              <w:t xml:space="preserve">application-component</w:t>
            </w:r>
          </w:p>
        </w:tc>
        <w:tc>
          <w:tcPr/>
          <w:p>
            <w:pPr>
              <w:pStyle w:val="Compact"/>
            </w:pPr>
          </w:p>
        </w:tc>
      </w:tr>
      <w:tr>
        <w:tc>
          <w:tcPr/>
          <w:p>
            <w:pPr>
              <w:pStyle w:val="Compact"/>
              <w:jc w:val="left"/>
            </w:pPr>
            <w:r>
              <w:t xml:space="preserve">MQ ESB IBM Entrada Request</w:t>
            </w:r>
          </w:p>
        </w:tc>
        <w:tc>
          <w:tcPr/>
          <w:p>
            <w:pPr>
              <w:pStyle w:val="Compact"/>
              <w:jc w:val="left"/>
            </w:pPr>
            <w:r>
              <w:t xml:space="preserve">application-interaction</w:t>
            </w:r>
          </w:p>
        </w:tc>
        <w:tc>
          <w:tcPr/>
          <w:p>
            <w:pPr>
              <w:pStyle w:val="Compact"/>
            </w:pPr>
          </w:p>
        </w:tc>
      </w:tr>
      <w:tr>
        <w:tc>
          <w:tcPr/>
          <w:p>
            <w:pPr>
              <w:pStyle w:val="Compact"/>
              <w:jc w:val="left"/>
            </w:pPr>
            <w:r>
              <w:t xml:space="preserve">Service Gateway</w:t>
            </w:r>
          </w:p>
        </w:tc>
        <w:tc>
          <w:tcPr/>
          <w:p>
            <w:pPr>
              <w:pStyle w:val="Compact"/>
              <w:jc w:val="left"/>
            </w:pPr>
            <w:r>
              <w:t xml:space="preserve">application-function</w:t>
            </w:r>
          </w:p>
        </w:tc>
        <w:tc>
          <w:tcPr/>
          <w:p>
            <w:pPr>
              <w:pStyle w:val="Compact"/>
            </w:pPr>
          </w:p>
        </w:tc>
      </w:tr>
      <w:tr>
        <w:tc>
          <w:tcPr/>
          <w:p>
            <w:pPr>
              <w:pStyle w:val="Compact"/>
              <w:jc w:val="left"/>
            </w:pPr>
            <w:r>
              <w:t xml:space="preserve">Adaptadores IntegraciÛn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Archivo ConfiguraciÛn Enrutamiento</w:t>
            </w:r>
          </w:p>
        </w:tc>
        <w:tc>
          <w:tcPr/>
          <w:p>
            <w:pPr>
              <w:pStyle w:val="Compact"/>
              <w:jc w:val="left"/>
            </w:pPr>
            <w:r>
              <w:t xml:space="preserve">data-object</w:t>
            </w:r>
          </w:p>
        </w:tc>
        <w:tc>
          <w:tcPr/>
          <w:p>
            <w:pPr>
              <w:pStyle w:val="Compact"/>
            </w:pPr>
          </w:p>
        </w:tc>
      </w:tr>
      <w:tr>
        <w:tc>
          <w:tcPr/>
          <w:p>
            <w:pPr>
              <w:pStyle w:val="Compact"/>
              <w:jc w:val="left"/>
            </w:pPr>
            <w:r>
              <w:t xml:space="preserve">Service Componnet</w:t>
            </w:r>
          </w:p>
        </w:tc>
        <w:tc>
          <w:tcPr/>
          <w:p>
            <w:pPr>
              <w:pStyle w:val="Compact"/>
              <w:jc w:val="left"/>
            </w:pPr>
            <w:r>
              <w:t xml:space="preserve">application-function</w:t>
            </w:r>
          </w:p>
        </w:tc>
        <w:tc>
          <w:tcPr/>
          <w:p>
            <w:pPr>
              <w:pStyle w:val="Compact"/>
            </w:pPr>
          </w:p>
        </w:tc>
      </w:tr>
      <w:tr>
        <w:tc>
          <w:tcPr/>
          <w:p>
            <w:pPr>
              <w:pStyle w:val="Compact"/>
              <w:jc w:val="left"/>
            </w:pPr>
            <w:r>
              <w:t xml:space="preserve">Homologaciones</w:t>
            </w:r>
          </w:p>
        </w:tc>
        <w:tc>
          <w:tcPr/>
          <w:p>
            <w:pPr>
              <w:pStyle w:val="Compact"/>
              <w:jc w:val="left"/>
            </w:pPr>
            <w:r>
              <w:t xml:space="preserve">application-function</w:t>
            </w:r>
          </w:p>
        </w:tc>
        <w:tc>
          <w:tcPr/>
          <w:p>
            <w:pPr>
              <w:pStyle w:val="Compact"/>
            </w:pPr>
          </w:p>
        </w:tc>
      </w:tr>
      <w:tr>
        <w:tc>
          <w:tcPr/>
          <w:p>
            <w:pPr>
              <w:pStyle w:val="Compact"/>
              <w:jc w:val="left"/>
            </w:pPr>
            <w:r>
              <w:t xml:space="preserve">Tabla HomologaciÛn</w:t>
            </w:r>
          </w:p>
        </w:tc>
        <w:tc>
          <w:tcPr/>
          <w:p>
            <w:pPr>
              <w:pStyle w:val="Compact"/>
              <w:jc w:val="left"/>
            </w:pPr>
            <w:r>
              <w:t xml:space="preserve">data-object</w:t>
            </w:r>
          </w:p>
        </w:tc>
        <w:tc>
          <w:tcPr/>
          <w:p>
            <w:pPr>
              <w:pStyle w:val="Compact"/>
            </w:pPr>
          </w:p>
        </w:tc>
      </w:tr>
      <w:tr>
        <w:tc>
          <w:tcPr/>
          <w:p>
            <w:pPr>
              <w:pStyle w:val="Compact"/>
              <w:jc w:val="left"/>
            </w:pPr>
            <w:r>
              <w:t xml:space="preserve">Capa Servicios ESB</w:t>
            </w:r>
          </w:p>
        </w:tc>
        <w:tc>
          <w:tcPr/>
          <w:p>
            <w:pPr>
              <w:pStyle w:val="Compact"/>
              <w:jc w:val="left"/>
            </w:pPr>
            <w:r>
              <w:t xml:space="preserve">application-collaboration</w:t>
            </w:r>
          </w:p>
        </w:tc>
        <w:tc>
          <w:tcPr/>
          <w:p>
            <w:pPr>
              <w:pStyle w:val="Compact"/>
              <w:jc w:val="left"/>
            </w:pPr>
            <w:r>
              <w:t xml:space="preserve">actualización</w:t>
            </w:r>
          </w:p>
        </w:tc>
      </w:tr>
      <w:tr>
        <w:tc>
          <w:tcPr/>
          <w:p>
            <w:pPr>
              <w:pStyle w:val="Compact"/>
              <w:jc w:val="left"/>
            </w:pPr>
            <w:r>
              <w:t xml:space="preserve">Adaptadores TecnologÌa int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Utilitarias Framework ESB</w:t>
            </w:r>
          </w:p>
        </w:tc>
        <w:tc>
          <w:tcPr/>
          <w:p>
            <w:pPr>
              <w:pStyle w:val="Compact"/>
              <w:jc w:val="left"/>
            </w:pPr>
            <w:r>
              <w:t xml:space="preserve">application-function</w:t>
            </w:r>
          </w:p>
        </w:tc>
        <w:tc>
          <w:tcPr/>
          <w:p>
            <w:pPr>
              <w:pStyle w:val="Compact"/>
            </w:pPr>
          </w:p>
        </w:tc>
      </w:tr>
      <w:tr>
        <w:tc>
          <w:tcPr/>
          <w:p>
            <w:pPr>
              <w:pStyle w:val="Compact"/>
              <w:jc w:val="left"/>
            </w:pPr>
            <w:r>
              <w:t xml:space="preserve">Manejo Logs</w:t>
            </w:r>
          </w:p>
        </w:tc>
        <w:tc>
          <w:tcPr/>
          <w:p>
            <w:pPr>
              <w:pStyle w:val="Compact"/>
              <w:jc w:val="left"/>
            </w:pPr>
            <w:r>
              <w:t xml:space="preserve">application-function</w:t>
            </w:r>
          </w:p>
        </w:tc>
        <w:tc>
          <w:tcPr/>
          <w:p>
            <w:pPr>
              <w:pStyle w:val="Compact"/>
            </w:pPr>
          </w:p>
        </w:tc>
      </w:tr>
      <w:tr>
        <w:tc>
          <w:tcPr/>
          <w:p>
            <w:pPr>
              <w:pStyle w:val="Compact"/>
              <w:jc w:val="left"/>
            </w:pPr>
            <w:r>
              <w:t xml:space="preserve">Manejo Errorres</w:t>
            </w:r>
          </w:p>
        </w:tc>
        <w:tc>
          <w:tcPr/>
          <w:p>
            <w:pPr>
              <w:pStyle w:val="Compact"/>
              <w:jc w:val="left"/>
            </w:pPr>
            <w:r>
              <w:t xml:space="preserve">application-function</w:t>
            </w:r>
          </w:p>
        </w:tc>
        <w:tc>
          <w:tcPr/>
          <w:p>
            <w:pPr>
              <w:pStyle w:val="Compact"/>
            </w:pPr>
          </w:p>
        </w:tc>
      </w:tr>
      <w:tr>
        <w:tc>
          <w:tcPr/>
          <w:p>
            <w:pPr>
              <w:pStyle w:val="Compact"/>
              <w:jc w:val="left"/>
            </w:pPr>
            <w:r>
              <w:t xml:space="preserve">Auditor Servicios</w:t>
            </w:r>
          </w:p>
        </w:tc>
        <w:tc>
          <w:tcPr/>
          <w:p>
            <w:pPr>
              <w:pStyle w:val="Compact"/>
              <w:jc w:val="left"/>
            </w:pPr>
            <w:r>
              <w:t xml:space="preserve">application-function</w:t>
            </w:r>
          </w:p>
        </w:tc>
        <w:tc>
          <w:tcPr/>
          <w:p>
            <w:pPr>
              <w:pStyle w:val="Compact"/>
            </w:pPr>
          </w:p>
        </w:tc>
      </w:tr>
      <w:tr>
        <w:tc>
          <w:tcPr/>
          <w:p>
            <w:pPr>
              <w:pStyle w:val="Compact"/>
              <w:jc w:val="left"/>
            </w:pPr>
            <w:r>
              <w:t xml:space="preserve">MQ ESB IBM Salida Request</w:t>
            </w:r>
          </w:p>
        </w:tc>
        <w:tc>
          <w:tcPr/>
          <w:p>
            <w:pPr>
              <w:pStyle w:val="Compact"/>
              <w:jc w:val="left"/>
            </w:pPr>
            <w:r>
              <w:t xml:space="preserve">application-interaction</w:t>
            </w:r>
          </w:p>
        </w:tc>
        <w:tc>
          <w:tcPr/>
          <w:p>
            <w:pPr>
              <w:pStyle w:val="Compact"/>
            </w:pPr>
          </w:p>
        </w:tc>
      </w:tr>
      <w:tr>
        <w:tc>
          <w:tcPr/>
          <w:p>
            <w:pPr>
              <w:pStyle w:val="Compact"/>
              <w:jc w:val="left"/>
            </w:pPr>
            <w:r>
              <w:t xml:space="preserve">MQ ESB IBM Entrada Response</w:t>
            </w:r>
          </w:p>
        </w:tc>
        <w:tc>
          <w:tcPr/>
          <w:p>
            <w:pPr>
              <w:pStyle w:val="Compact"/>
              <w:jc w:val="left"/>
            </w:pPr>
            <w:r>
              <w:t xml:space="preserve">application-interaction</w:t>
            </w:r>
          </w:p>
        </w:tc>
        <w:tc>
          <w:tcPr/>
          <w:p>
            <w:pPr>
              <w:pStyle w:val="Compact"/>
            </w:pPr>
          </w:p>
        </w:tc>
      </w:tr>
      <w:tr>
        <w:tc>
          <w:tcPr/>
          <w:p>
            <w:pPr>
              <w:pStyle w:val="Compact"/>
              <w:jc w:val="left"/>
            </w:pPr>
            <w:r>
              <w:t xml:space="preserve">MQ ESB IBM Salida Responce</w:t>
            </w:r>
          </w:p>
        </w:tc>
        <w:tc>
          <w:tcPr/>
          <w:p>
            <w:pPr>
              <w:pStyle w:val="Compact"/>
              <w:jc w:val="left"/>
            </w:pPr>
            <w:r>
              <w:t xml:space="preserve">application-interaction</w:t>
            </w:r>
          </w:p>
        </w:tc>
        <w:tc>
          <w:tcPr/>
          <w:p>
            <w:pPr>
              <w:pStyle w:val="Compact"/>
            </w:pPr>
          </w:p>
        </w:tc>
      </w:tr>
      <w:tr>
        <w:tc>
          <w:tcPr/>
          <w:p>
            <w:pPr>
              <w:pStyle w:val="Compact"/>
              <w:jc w:val="left"/>
            </w:pPr>
            <w:r>
              <w:t xml:space="preserve">Aplicaciones Proveedoras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Aplicaciones Consumidoras Internas del FNA</w:t>
            </w:r>
          </w:p>
        </w:tc>
        <w:tc>
          <w:tcPr/>
          <w:p>
            <w:pPr>
              <w:pStyle w:val="Compact"/>
              <w:jc w:val="left"/>
            </w:pPr>
            <w:r>
              <w:t xml:space="preserve">application-component</w:t>
            </w:r>
          </w:p>
        </w:tc>
        <w:tc>
          <w:tcPr/>
          <w:p>
            <w:pPr>
              <w:pStyle w:val="Compact"/>
            </w:pPr>
          </w:p>
        </w:tc>
      </w:tr>
      <w:tr>
        <w:tc>
          <w:tcPr/>
          <w:p>
            <w:pPr>
              <w:pStyle w:val="Compact"/>
              <w:jc w:val="left"/>
            </w:pPr>
            <w:r>
              <w:t xml:space="preserve">ESB-DMZ</w:t>
            </w:r>
          </w:p>
        </w:tc>
        <w:tc>
          <w:tcPr/>
          <w:p>
            <w:pPr>
              <w:pStyle w:val="Compact"/>
              <w:jc w:val="left"/>
            </w:pPr>
            <w:r>
              <w:t xml:space="preserve">application-component</w:t>
            </w:r>
          </w:p>
        </w:tc>
        <w:tc>
          <w:tcPr/>
          <w:p>
            <w:pPr>
              <w:pStyle w:val="Compact"/>
            </w:pPr>
          </w:p>
        </w:tc>
      </w:tr>
      <w:tr>
        <w:tc>
          <w:tcPr/>
          <w:p>
            <w:pPr>
              <w:pStyle w:val="Compact"/>
              <w:jc w:val="left"/>
            </w:pPr>
            <w:r>
              <w:t xml:space="preserve">Adaptadores IntegraciÛn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Adaptadores TecnologÌa Ext</w:t>
            </w:r>
          </w:p>
        </w:tc>
        <w:tc>
          <w:tcPr/>
          <w:p>
            <w:pPr>
              <w:pStyle w:val="Compact"/>
              <w:jc w:val="left"/>
            </w:pPr>
            <w:r>
              <w:t xml:space="preserve">application-interface</w:t>
            </w:r>
          </w:p>
        </w:tc>
        <w:tc>
          <w:tcPr/>
          <w:p>
            <w:pPr>
              <w:pStyle w:val="Compact"/>
              <w:jc w:val="left"/>
            </w:pPr>
            <w:r>
              <w:t xml:space="preserve">sustitución</w:t>
            </w:r>
          </w:p>
        </w:tc>
      </w:tr>
      <w:tr>
        <w:tc>
          <w:tcPr/>
          <w:p>
            <w:pPr>
              <w:pStyle w:val="Compact"/>
              <w:jc w:val="left"/>
            </w:pPr>
            <w:r>
              <w:t xml:space="preserve">Aplicaciones Consumidoras Externas al FNA</w:t>
            </w:r>
          </w:p>
        </w:tc>
        <w:tc>
          <w:tcPr/>
          <w:p>
            <w:pPr>
              <w:pStyle w:val="Compact"/>
              <w:jc w:val="left"/>
            </w:pPr>
            <w:r>
              <w:t xml:space="preserve">application-component</w:t>
            </w:r>
          </w:p>
        </w:tc>
        <w:tc>
          <w:tcPr/>
          <w:p>
            <w:pPr>
              <w:pStyle w:val="Compact"/>
            </w:pPr>
          </w:p>
        </w:tc>
      </w:tr>
      <w:tr>
        <w:tc>
          <w:tcPr/>
          <w:p>
            <w:pPr>
              <w:pStyle w:val="Compact"/>
              <w:jc w:val="left"/>
            </w:pPr>
            <w:r>
              <w:t xml:space="preserve">Aplicaciones Proveedoras Externas al FNA (copy)</w:t>
            </w:r>
          </w:p>
        </w:tc>
        <w:tc>
          <w:tcPr/>
          <w:p>
            <w:pPr>
              <w:pStyle w:val="Compact"/>
              <w:jc w:val="left"/>
            </w:pPr>
            <w:r>
              <w:t xml:space="preserve">application-component</w:t>
            </w:r>
          </w:p>
        </w:tc>
        <w:tc>
          <w:tcPr/>
          <w:p>
            <w:pPr>
              <w:pStyle w:val="Compact"/>
            </w:pPr>
          </w:p>
        </w:tc>
      </w:tr>
    </w:tbl>
    <w:p>
      <w:pPr>
        <w:pStyle w:val="Textoindependiente"/>
      </w:pPr>
    </w:p>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jpg" /><Relationship Type="http://schemas.openxmlformats.org/officeDocument/2006/relationships/image" Id="rId27" Target="media/rId27.jpg" /><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2023-02-23T18:24:40Z</dcterms:created>
  <dcterms:modified xsi:type="dcterms:W3CDTF">2023-02-23T18:24:40Z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