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425b978 del 23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2" w:name="X823f97885e195dfec617c2a8df2e775203b9b49"/>
    <w:p>
      <w:pPr>
        <w:pStyle w:val="Ttulo2"/>
      </w:pPr>
      <w:r>
        <w:t xml:space="preserve">Iniciativas y Proyectos de Cierre de Brecha</w:t>
      </w:r>
    </w:p>
    <w:p>
      <w:pPr>
        <w:pStyle w:val="FirstParagraph"/>
      </w:pPr>
      <w:r>
        <w:t xml:space="preserve">Las iniciativas de transición, en este contexto, son grupos de paquetes de trabajo, que son a su vez proyectos ejecutables de cierre de brechas que realizan sustituciones, reajustes, o mejoras en un área de la arquitectura actual.</w:t>
      </w:r>
    </w:p>
    <w:p>
      <w:pPr>
        <w:pStyle w:val="Textoindependiente"/>
      </w:pPr>
    </w:p>
    <w:bookmarkStart w:id="21" w:name="X83bfa9bb44440f6d601d34b077b702c44c1dade"/>
    <w:p>
      <w:pPr>
        <w:pStyle w:val="Ttulo3"/>
      </w:pPr>
      <w:r>
        <w:t xml:space="preserve">Lista de Proyectos de Cierre de Brechas. Crédito Constructor FNA</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Crédito Constructor FNA.</w:t>
      </w:r>
      <w:r>
        <w:t xml:space="preserve"> </w:t>
      </w:r>
      <w:r>
        <w:t xml:space="preserve">|</w:t>
      </w:r>
      <w:r>
        <w:rPr>
          <w:bCs/>
          <w:b/>
        </w:rPr>
        <w:t xml:space="preserve">id</w:t>
      </w:r>
      <w:r>
        <w:t xml:space="preserve"> </w:t>
      </w:r>
      <w:r>
        <w:t xml:space="preserve">|</w:t>
      </w:r>
      <w:r>
        <w:t xml:space="preserve"> </w:t>
      </w:r>
      <w:r>
        <w:rPr>
          <w:bCs/>
          <w:b/>
        </w:rPr>
        <w:t xml:space="preserve">Proyecto</w:t>
      </w:r>
      <w:r>
        <w:t xml:space="preserve"> </w:t>
      </w:r>
      <w:r>
        <w:t xml:space="preserve">|</w:t>
      </w:r>
      <w:r>
        <w:t xml:space="preserve"> </w:t>
      </w:r>
      <w:r>
        <w:rPr>
          <w:bCs/>
          <w:b/>
        </w:rPr>
        <w:t xml:space="preserve">Objetivo</w:t>
      </w:r>
      <w:r>
        <w:t xml:space="preserve"> </w:t>
      </w:r>
      <w:r>
        <w:t xml:space="preserve">|</w:t>
      </w:r>
      <w:r>
        <w:t xml:space="preserve"> </w:t>
      </w:r>
      <w:r>
        <w:rPr>
          <w:bCs/>
          <w:b/>
        </w:rPr>
        <w:t xml:space="preserve">Tipo</w:t>
      </w:r>
      <w:r>
        <w:t xml:space="preserve"> </w:t>
      </w:r>
      <w:r>
        <w:t xml:space="preserve">|</w:t>
      </w:r>
      <w:r>
        <w:t xml:space="preserve"> </w:t>
      </w:r>
      <w:r>
        <w:rPr>
          <w:bCs/>
          <w:b/>
        </w:rPr>
        <w:t xml:space="preserve">Impl.</w:t>
      </w:r>
      <w:r>
        <w:t xml:space="preserve"> </w:t>
      </w:r>
      <w:r>
        <w:t xml:space="preserve">|</w:t>
      </w:r>
      <w:r>
        <w:t xml:space="preserve"> </w:t>
      </w:r>
      <w:r>
        <w:t xml:space="preserve">|——-|—————————————–|————–|—————|———–|</w:t>
      </w:r>
      <w:r>
        <w:t xml:space="preserve"> </w:t>
      </w:r>
      <w:r>
        <w:t xml:space="preserve">|BR01 | API Crédito Constructor |Actualizar las interfaces de ejecución y exposición de funcionalidades | incremental | actualizacion |</w:t>
      </w:r>
      <w:r>
        <w:br/>
      </w:r>
      <w:r>
        <w:t xml:space="preserve">|BR02 | Estandarización de Integración |Disminuir los adaptadores particulares. Reemplazarlos por llamadas a API| regresivo | sustitución |</w:t>
      </w:r>
    </w:p>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2023-02-23T16:57:47Z</dcterms:created>
  <dcterms:modified xsi:type="dcterms:W3CDTF">2023-02-23T16:57:47Z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