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Lista de iniciativas y proyectos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13ba6bf del 22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2" w:name="X823f97885e195dfec617c2a8df2e775203b9b49"/>
    <w:p>
      <w:pPr>
        <w:pStyle w:val="Ttulo2"/>
      </w:pPr>
      <w:r>
        <w:t xml:space="preserve">Iniciativas y Proyectos de Cierre de Brecha</w:t>
      </w:r>
    </w:p>
    <w:bookmarkStart w:id="21" w:name="X83bfa9bb44440f6d601d34b077b702c44c1dade"/>
    <w:p>
      <w:pPr>
        <w:pStyle w:val="Ttulo3"/>
      </w:pPr>
      <w:r>
        <w:t xml:space="preserve">Lista de Proyectos de Cierre de Brechas. Crédito Constructor FNA</w:t>
      </w:r>
    </w:p>
    <w:p>
      <w:pPr>
        <w:pStyle w:val="FirstParagraph"/>
      </w:pPr>
      <w:r>
        <w:t xml:space="preserve">Los siguientes proyectos son requeridos para cerrar las brechas en la flexibilización de la arquitectura de Crédito Constructor del FNA. Los proyectos provienen del análisis del brecha descrito en</w:t>
      </w:r>
      <w:r>
        <w:t xml:space="preserve"> </w:t>
      </w:r>
      <w:hyperlink r:id="rId20">
        <w:r>
          <w:rPr>
            <w:rStyle w:val="Hipervnculo"/>
          </w:rPr>
          <w:t xml:space="preserve">09b. Matriz de brechas</w:t>
        </w:r>
      </w:hyperlink>
      <w:r>
        <w:t xml:space="preserve">.</w:t>
      </w:r>
    </w:p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20"/>
        <w:gridCol w:w="4217"/>
        <w:gridCol w:w="1542"/>
        <w:gridCol w:w="1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Proyecto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Objetivo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 Crédito Constructor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Actualizar las interfases de ejecución y exposición de funcionalidades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Estandarización de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regresivo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Disminuir los adaptadores particulares. Reemplazarlos por llamadas a API</w:t>
            </w:r>
          </w:p>
        </w:tc>
      </w:tr>
    </w:tbl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2023-02-22T11:12:55Z</dcterms:created>
  <dcterms:modified xsi:type="dcterms:W3CDTF">2023-02-22T11:12:55Z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