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ea66b71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4"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23" w:name="lista-de-proyectos-de-cierre-de-brechas"/>
    <w:p>
      <w:pPr>
        <w:pStyle w:val="Ttulo3"/>
      </w:pPr>
      <w:r>
        <w:t xml:space="preserve">Lista de Proyectos de Cierre de Brechas</w:t>
      </w:r>
    </w:p>
    <w:bookmarkStart w:id="21" w:name="crédito-constructor-fna"/>
    <w:p>
      <w:pPr>
        <w:pStyle w:val="Ttulo4"/>
      </w:pPr>
      <w:r>
        <w:t xml:space="preserve">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1"/>
    <w:bookmarkStart w:id="22"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rPr>
          <w:bCs/>
          <w:b/>
        </w:rPr>
        <w:t xml:space="preserve">Depend</w:t>
      </w:r>
      <w:r>
        <w:t xml:space="preserve"> </w:t>
      </w:r>
      <w:r>
        <w:t xml:space="preserve">|</w:t>
      </w:r>
      <w:r>
        <w:t xml:space="preserve"> </w:t>
      </w:r>
      <w:r>
        <w:t xml:space="preserve">|——-|—————————————–|————–|—————|———–|—————–|</w:t>
      </w:r>
      <w:r>
        <w:t xml:space="preserve"> </w:t>
      </w:r>
      <w:r>
        <w:t xml:space="preserve">|BR010 | Estandarización de Integración ESB FNA |Disminuir los adaptadores particulares. Reemplazarlos por exposición (y gestión) de API| regresivo | sustitución | BR02 |</w:t>
      </w:r>
      <w:r>
        <w:t xml:space="preserve"> </w:t>
      </w:r>
      <w:r>
        <w:t xml:space="preserve">|BR011 | Servicios de negocio y recomposición |Agregar servicios de negocio a la capa de negocio del ESB. Rediseño de las composiciones de servicios que reflejen el flujo de las transacciones de negocio | incremental | actualizacion | BR02 |</w:t>
      </w:r>
    </w:p>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2"/>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2023-02-23T18:45:27Z</dcterms:created>
  <dcterms:modified xsi:type="dcterms:W3CDTF">2023-02-23T18:45:27Z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