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0873998 del 24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5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bookmarkEnd w:id="27"/>
    <w:bookmarkStart w:id="34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8"/>
    <w:bookmarkStart w:id="29" w:name="oportunidades-retos-1"/>
    <w:p>
      <w:pPr>
        <w:pStyle w:val="Ttulo4"/>
      </w:pPr>
      <w:r>
        <w:t xml:space="preserve">Oportunidades / Retos</w:t>
      </w:r>
    </w:p>
    <w:p>
      <w:pPr>
        <w:numPr>
          <w:ilvl w:val="0"/>
          <w:numId w:val="1006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6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6"/>
        </w:numPr>
        <w:pStyle w:val="Compact"/>
      </w:pPr>
      <w:r>
        <w:t xml:space="preserve">Estandarizar el modelo de integración e intercambio de datos</w:t>
      </w:r>
    </w:p>
    <w:bookmarkEnd w:id="29"/>
    <w:bookmarkStart w:id="30" w:name="alcance-1"/>
    <w:p>
      <w:pPr>
        <w:pStyle w:val="Ttulo4"/>
      </w:pPr>
      <w:r>
        <w:t xml:space="preserve">Alcance</w:t>
      </w:r>
    </w:p>
    <w:p>
      <w:pPr>
        <w:numPr>
          <w:ilvl w:val="0"/>
          <w:numId w:val="1007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7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7"/>
        </w:numPr>
        <w:pStyle w:val="Compact"/>
      </w:pPr>
      <w:r>
        <w:t xml:space="preserve">Actualizar y modificar a los consumidores actuales (redirección)</w:t>
      </w:r>
    </w:p>
    <w:bookmarkEnd w:id="30"/>
    <w:bookmarkStart w:id="31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8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8"/>
        </w:numPr>
        <w:pStyle w:val="Compact"/>
      </w:pPr>
      <w:r>
        <w:t xml:space="preserve">Aumentar el nivel de capacidades y tecnologías del ESB</w:t>
      </w:r>
    </w:p>
    <w:bookmarkEnd w:id="31"/>
    <w:bookmarkStart w:id="32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Unidades de negocio</w:t>
      </w:r>
    </w:p>
    <w:p>
      <w:pPr>
        <w:numPr>
          <w:ilvl w:val="0"/>
          <w:numId w:val="1009"/>
        </w:numPr>
        <w:pStyle w:val="Compact"/>
      </w:pPr>
      <w:r>
        <w:t xml:space="preserve">Oficina de Arquitectura</w:t>
      </w:r>
    </w:p>
    <w:p>
      <w:pPr>
        <w:numPr>
          <w:ilvl w:val="0"/>
          <w:numId w:val="1009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9"/>
        </w:numPr>
        <w:pStyle w:val="Compact"/>
      </w:pPr>
      <w:r>
        <w:t xml:space="preserve">Consultores / fabricantes de apoyo</w:t>
      </w:r>
    </w:p>
    <w:bookmarkEnd w:id="32"/>
    <w:bookmarkStart w:id="33" w:name="tecnologias-1"/>
    <w:p>
      <w:pPr>
        <w:pStyle w:val="Ttulo4"/>
      </w:pPr>
      <w:r>
        <w:t xml:space="preserve">Tecnologias</w:t>
      </w:r>
    </w:p>
    <w:p>
      <w:pPr>
        <w:numPr>
          <w:ilvl w:val="0"/>
          <w:numId w:val="1010"/>
        </w:numPr>
        <w:pStyle w:val="Compact"/>
      </w:pPr>
      <w:r>
        <w:t xml:space="preserve">Portafolio de API</w:t>
      </w:r>
    </w:p>
    <w:p>
      <w:pPr>
        <w:numPr>
          <w:ilvl w:val="0"/>
          <w:numId w:val="1010"/>
        </w:numPr>
        <w:pStyle w:val="Compact"/>
      </w:pPr>
      <w:r>
        <w:t xml:space="preserve">Herramientas de diseño de API</w:t>
      </w:r>
    </w:p>
    <w:bookmarkEnd w:id="33"/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2023-02-24T21:01:43Z</dcterms:created>
  <dcterms:modified xsi:type="dcterms:W3CDTF">2023-02-24T21:01:43Z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