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br01.-api-crédito-constructor"/>
    <w:p>
      <w:pPr>
        <w:pStyle w:val="Ttulo3"/>
      </w:pPr>
      <w:r>
        <w:t xml:space="preserve">BR01. API Crédito Constructor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Actualizar las interfaces de ejecución y exposición de funcionalidades (API) de Crédito Constructor.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Convertir al producto Crédito Constructor en funcionalidades granulares, reutilizables y expuestas (privadas, protegidas y públicas)</w:t>
      </w:r>
    </w:p>
    <w:p>
      <w:pPr>
        <w:numPr>
          <w:ilvl w:val="0"/>
          <w:numId w:val="1001"/>
        </w:numPr>
        <w:pStyle w:val="Compact"/>
      </w:pPr>
      <w:r>
        <w:t xml:space="preserve">Comercializar el API de C. Constructor</w:t>
      </w:r>
    </w:p>
    <w:p>
      <w:pPr>
        <w:numPr>
          <w:ilvl w:val="0"/>
          <w:numId w:val="1001"/>
        </w:numPr>
        <w:pStyle w:val="Compact"/>
      </w:pPr>
      <w:r>
        <w:t xml:space="preserve">Estandarizar el modelo de integración e intercambio de datos</w:t>
      </w:r>
    </w:p>
    <w:bookmarkEnd w:id="21"/>
    <w:bookmarkStart w:id="22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2"/>
        </w:numPr>
        <w:pStyle w:val="Compact"/>
      </w:pPr>
      <w:r>
        <w:t xml:space="preserve">Estructurar e implementar funcionalidades del producto en forma de operaciones y datos expuestos (API)</w:t>
      </w:r>
    </w:p>
    <w:p>
      <w:pPr>
        <w:numPr>
          <w:ilvl w:val="0"/>
          <w:numId w:val="1002"/>
        </w:numPr>
        <w:pStyle w:val="Compact"/>
      </w:pPr>
      <w:r>
        <w:t xml:space="preserve">Establecer los nuevos consumidores de las API del producto</w:t>
      </w:r>
    </w:p>
    <w:p>
      <w:pPr>
        <w:numPr>
          <w:ilvl w:val="0"/>
          <w:numId w:val="1002"/>
        </w:numPr>
        <w:pStyle w:val="Compact"/>
      </w:pPr>
      <w:r>
        <w:t xml:space="preserve">Actualizar y modificar a los consumidores actuales (redirección)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Proteger de impacto por cambios a los consumidores y ambos extremos de la integración</w:t>
      </w:r>
    </w:p>
    <w:p>
      <w:pPr>
        <w:numPr>
          <w:ilvl w:val="0"/>
          <w:numId w:val="1003"/>
        </w:numPr>
        <w:pStyle w:val="Compact"/>
      </w:pPr>
      <w:r>
        <w:t xml:space="preserve">Flexibilidad de modificación de las integraciones</w:t>
      </w:r>
    </w:p>
    <w:p>
      <w:pPr>
        <w:numPr>
          <w:ilvl w:val="0"/>
          <w:numId w:val="1003"/>
        </w:numPr>
        <w:pStyle w:val="Compact"/>
      </w:pPr>
      <w:r>
        <w:t xml:space="preserve">Modernización del modelo y tecnología de integración</w:t>
      </w:r>
    </w:p>
    <w:bookmarkEnd w:id="23"/>
    <w:bookmarkStart w:id="24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Unidades de negocio</w:t>
      </w:r>
    </w:p>
    <w:p>
      <w:pPr>
        <w:numPr>
          <w:ilvl w:val="0"/>
          <w:numId w:val="1004"/>
        </w:numPr>
        <w:pStyle w:val="Compact"/>
      </w:pPr>
      <w:r>
        <w:t xml:space="preserve">Oficina de Arquitectura</w:t>
      </w:r>
    </w:p>
    <w:p>
      <w:pPr>
        <w:numPr>
          <w:ilvl w:val="0"/>
          <w:numId w:val="1004"/>
        </w:numPr>
        <w:pStyle w:val="Compact"/>
      </w:pPr>
      <w:r>
        <w:t xml:space="preserve">Proveedores del FNA (Cobis, IBM, Oracle)</w:t>
      </w:r>
    </w:p>
    <w:p>
      <w:pPr>
        <w:numPr>
          <w:ilvl w:val="0"/>
          <w:numId w:val="1004"/>
        </w:numPr>
        <w:pStyle w:val="Compact"/>
      </w:pPr>
      <w:r>
        <w:t xml:space="preserve">Consultores / fabricantes de apoyo</w:t>
      </w:r>
    </w:p>
    <w:bookmarkEnd w:id="24"/>
    <w:bookmarkStart w:id="25" w:name="tecnologias"/>
    <w:p>
      <w:pPr>
        <w:pStyle w:val="Ttulo4"/>
      </w:pPr>
      <w:r>
        <w:t xml:space="preserve">Tecnologias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2023-03-24T14:49:53Z</dcterms:created>
  <dcterms:modified xsi:type="dcterms:W3CDTF">2023-03-24T14:49:53Z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