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br01.-api-crédito-constructor"/>
    <w:p>
      <w:pPr>
        <w:pStyle w:val="Ttulo3"/>
      </w:pPr>
      <w:r>
        <w:t xml:space="preserve">BR01. API Crédito Constructor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ejecución y exposición de funcionalidades (API) de Crédito Constructor.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Convertir al producto Crédito Constructor en funcionalidades granulares, reutilizables y expuestas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Comercializar el API de C. Constructor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a los consumidores y ambos extremos de la integración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integraciones</w:t>
      </w:r>
    </w:p>
    <w:p>
      <w:pPr>
        <w:numPr>
          <w:ilvl w:val="0"/>
          <w:numId w:val="1003"/>
        </w:numPr>
        <w:pStyle w:val="Compact"/>
      </w:pPr>
      <w:r>
        <w:t xml:space="preserve">Modernización del modelo y tecnología de integración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2023-02-28T06:56:07Z</dcterms:created>
  <dcterms:modified xsi:type="dcterms:W3CDTF">2023-02-28T06:56:07Z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