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obierno-de-datos"/>
    <w:p>
      <w:pPr>
        <w:pStyle w:val="Ttulo3"/>
      </w:pPr>
      <w:r>
        <w:t xml:space="preserve">Gobierno de Datos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la estrategia de gobierno de datos que permita tener autoridad y control sobre la gestión de los activos de datos del FNA​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Habilitar un FNA que gestione los datos como un activo​</w:t>
      </w:r>
    </w:p>
    <w:p>
      <w:pPr>
        <w:numPr>
          <w:ilvl w:val="0"/>
          <w:numId w:val="1001"/>
        </w:numPr>
        <w:pStyle w:val="Compact"/>
      </w:pPr>
      <w:r>
        <w:t xml:space="preserve">Definir, aprobar, comunicar e implementar principios, políticas, métricas, herramientas y responsabilidades para la gestión de los datos​</w:t>
      </w:r>
    </w:p>
    <w:p>
      <w:pPr>
        <w:numPr>
          <w:ilvl w:val="0"/>
          <w:numId w:val="1001"/>
        </w:numPr>
        <w:pStyle w:val="Compact"/>
      </w:pPr>
      <w:r>
        <w:t xml:space="preserve">Monitorear, mantener y guiar el cumplimiento de la políticas sobre la gestión y uso de datos 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 - Oficina de ​gobierno de datos</w:t>
      </w:r>
    </w:p>
    <w:p>
      <w:pPr>
        <w:numPr>
          <w:ilvl w:val="0"/>
          <w:numId w:val="1002"/>
        </w:numPr>
        <w:pStyle w:val="Compact"/>
      </w:pPr>
      <w:r>
        <w:t xml:space="preserve">Especialista en Gobierno de Datos​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Cumplimiento regulatorio​</w:t>
      </w:r>
    </w:p>
    <w:p>
      <w:pPr>
        <w:numPr>
          <w:ilvl w:val="0"/>
          <w:numId w:val="1003"/>
        </w:numPr>
        <w:pStyle w:val="Compact"/>
      </w:pPr>
      <w:r>
        <w:t xml:space="preserve">Eficiencia en proyectos de desarrollo y productos de datos​</w:t>
      </w:r>
    </w:p>
    <w:p>
      <w:pPr>
        <w:numPr>
          <w:ilvl w:val="0"/>
          <w:numId w:val="1003"/>
        </w:numPr>
        <w:pStyle w:val="Compact"/>
      </w:pPr>
      <w:r>
        <w:t xml:space="preserve">Gestión de proveedores​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Definir el gobierno de datos para el FNA​</w:t>
      </w:r>
    </w:p>
    <w:p>
      <w:pPr>
        <w:numPr>
          <w:ilvl w:val="0"/>
          <w:numId w:val="1004"/>
        </w:numPr>
        <w:pStyle w:val="Compact"/>
      </w:pPr>
      <w:r>
        <w:t xml:space="preserve">Definir e implementar la estrategía de datos para el FNA​</w:t>
      </w:r>
    </w:p>
    <w:p>
      <w:pPr>
        <w:numPr>
          <w:ilvl w:val="0"/>
          <w:numId w:val="1004"/>
        </w:numPr>
        <w:pStyle w:val="Compact"/>
      </w:pPr>
      <w:r>
        <w:t xml:space="preserve">Alinear el gobierno de datos con el gobierno SOA​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 de gobierno de datos</w:t>
      </w:r>
    </w:p>
    <w:p>
      <w:pPr>
        <w:numPr>
          <w:ilvl w:val="0"/>
          <w:numId w:val="1005"/>
        </w:numPr>
        <w:pStyle w:val="Compact"/>
      </w:pPr>
      <w:r>
        <w:t xml:space="preserve">Tablero de control de gobierno de datos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2023-03-07T22:13:16Z</dcterms:created>
  <dcterms:modified xsi:type="dcterms:W3CDTF">2023-03-07T22:13:16Z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