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gestión-de-datos-maestros"/>
    <w:p>
      <w:pPr>
        <w:pStyle w:val="Ttulo3"/>
      </w:pPr>
      <w:r>
        <w:t xml:space="preserve">Gestión de Datos Maestros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Implementar una estrategia de gestión de datos compartidos para conocer objetivos organizacionales reduciendo la redundancia de los datos y los costos de integración de los datos​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Gestionar los datos compartidos de forma eficiente​</w:t>
      </w:r>
    </w:p>
    <w:p>
      <w:pPr>
        <w:numPr>
          <w:ilvl w:val="0"/>
          <w:numId w:val="1001"/>
        </w:numPr>
        <w:pStyle w:val="Compact"/>
      </w:pPr>
      <w:r>
        <w:t xml:space="preserve">Proporcionar una fuente autorizada de datos maestros y de referencia conciliados y evaluados con calidad​</w:t>
      </w:r>
    </w:p>
    <w:p>
      <w:pPr>
        <w:numPr>
          <w:ilvl w:val="0"/>
          <w:numId w:val="1001"/>
        </w:numPr>
        <w:pStyle w:val="Compact"/>
      </w:pPr>
      <w:r>
        <w:t xml:space="preserve">Cumplir con los requisitos de datos en el FNA​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Unidades de Negocio​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2"/>
        </w:numPr>
        <w:pStyle w:val="Compact"/>
      </w:pPr>
      <w:r>
        <w:t xml:space="preserve">Consultores de Apoyo​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Reducir los riesgos asociados con la redundancia de datos, asegurando alta calidad, y reduciendo costos de integración de datos​</w:t>
      </w:r>
    </w:p>
    <w:p>
      <w:pPr>
        <w:numPr>
          <w:ilvl w:val="0"/>
          <w:numId w:val="1003"/>
        </w:numPr>
        <w:pStyle w:val="Compact"/>
      </w:pPr>
      <w:r>
        <w:t xml:space="preserve">Habilitar y compartir activos de información trasversalmente en los dominios de negocio y aplicaciones en la organización​</w:t>
      </w:r>
    </w:p>
    <w:p>
      <w:pPr>
        <w:numPr>
          <w:ilvl w:val="0"/>
          <w:numId w:val="1003"/>
        </w:numPr>
        <w:pStyle w:val="Compact"/>
      </w:pPr>
      <w:r>
        <w:t xml:space="preserve">Desarrollar una versión confiable de la verdad para cada instancia de entidad conceptual como producto, lugar, cuenta, persona u organización 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Identificar múltiples instancias de la misma entidad representada dentro y entre fuentes de datos; construir y mantener identificadores y referencias cruzadas para permitir la integración de la información​</w:t>
      </w:r>
    </w:p>
    <w:p>
      <w:pPr>
        <w:numPr>
          <w:ilvl w:val="0"/>
          <w:numId w:val="1004"/>
        </w:numPr>
        <w:pStyle w:val="Compact"/>
      </w:pPr>
      <w:r>
        <w:t xml:space="preserve">Implementación de una herramienta de Master Data Management (MDM)​</w:t>
      </w:r>
    </w:p>
    <w:p>
      <w:pPr>
        <w:numPr>
          <w:ilvl w:val="0"/>
          <w:numId w:val="1004"/>
        </w:numPr>
        <w:pStyle w:val="Compact"/>
      </w:pPr>
      <w:r>
        <w:t xml:space="preserve">Integración de datos a través de estándares, modelos de datos comunes y patrones de integración​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Herramienta de Master Data Management MDM</w:t>
      </w:r>
    </w:p>
    <w:p>
      <w:pPr>
        <w:numPr>
          <w:ilvl w:val="0"/>
          <w:numId w:val="1005"/>
        </w:numPr>
        <w:pStyle w:val="Compact"/>
      </w:pPr>
      <w:r>
        <w:t xml:space="preserve">Tablero de control de datos maestros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2023-03-28T14:08:50Z</dcterms:created>
  <dcterms:modified xsi:type="dcterms:W3CDTF">2023-03-28T14:08:50Z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