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devops"/>
    <w:p>
      <w:pPr>
        <w:pStyle w:val="Ttulo3"/>
      </w:pPr>
      <w:r>
        <w:t xml:space="preserve">Devops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La adopción de la cultura y prácticas de Development Operations (DevOps) permite a la organización crear y entregar productos de software de forma más rápida y fiable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El aprovisionamiento y la administración de la infraestructura: Los diversos ambientes de infraestructura (Ej. desarrollo, calidad, pre-producción y producción) podrían ser administrados a través de infraestructura como código</w:t>
      </w:r>
    </w:p>
    <w:p>
      <w:pPr>
        <w:numPr>
          <w:ilvl w:val="0"/>
          <w:numId w:val="1001"/>
        </w:numPr>
        <w:pStyle w:val="Compact"/>
      </w:pPr>
      <w:r>
        <w:t xml:space="preserve">Implementación del código de la aplicación: El ciclo de vida de los componentes incluyendo la promoción en los distintos ambientes se gestiona a través de</w:t>
      </w:r>
      <w:r>
        <w:t xml:space="preserve"> </w:t>
      </w:r>
      <w:r>
        <w:t xml:space="preserve">“</w:t>
      </w:r>
      <w:r>
        <w:t xml:space="preserve">pipelines</w:t>
      </w:r>
      <w:r>
        <w:t xml:space="preserve">”</w:t>
      </w:r>
      <w:r>
        <w:t xml:space="preserve">(o canalizaciones)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Software de mayor calidad</w:t>
      </w:r>
    </w:p>
    <w:p>
      <w:pPr>
        <w:numPr>
          <w:ilvl w:val="0"/>
          <w:numId w:val="1003"/>
        </w:numPr>
        <w:pStyle w:val="Compact"/>
      </w:pPr>
      <w:r>
        <w:t xml:space="preserve">Escalabilidad de las Aplicaciones​</w:t>
      </w:r>
    </w:p>
    <w:p>
      <w:pPr>
        <w:numPr>
          <w:ilvl w:val="0"/>
          <w:numId w:val="1003"/>
        </w:numPr>
        <w:pStyle w:val="Compact"/>
      </w:pPr>
      <w:r>
        <w:t xml:space="preserve">Velocidad en el Proceso de Desarrollo de Software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Infraestructura cómo código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</w:t>
      </w:r>
      <w:r>
        <w:t xml:space="preserve"> </w:t>
      </w:r>
      <w:r>
        <w:t xml:space="preserve">“</w:t>
      </w:r>
      <w:r>
        <w:t xml:space="preserve">Servidor de Automatización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Iniciar con prácticas de</w:t>
      </w:r>
      <w:r>
        <w:t xml:space="preserve"> </w:t>
      </w:r>
      <w:r>
        <w:t xml:space="preserve">‘</w:t>
      </w:r>
      <w:r>
        <w:t xml:space="preserve">Integración Continua</w:t>
      </w:r>
      <w:r>
        <w:t xml:space="preserve">’</w:t>
      </w:r>
      <w:r>
        <w:t xml:space="preserve"> </w:t>
      </w:r>
      <w:r>
        <w:t xml:space="preserve">y gradualmente apuntar a contar con</w:t>
      </w:r>
      <w:r>
        <w:t xml:space="preserve"> </w:t>
      </w:r>
      <w:r>
        <w:t xml:space="preserve">‘</w:t>
      </w:r>
      <w:r>
        <w:t xml:space="preserve">Despliegue Continuo</w:t>
      </w:r>
      <w:r>
        <w:t xml:space="preserve">’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Servidor de Automatización</w:t>
      </w:r>
    </w:p>
    <w:p>
      <w:pPr>
        <w:numPr>
          <w:ilvl w:val="0"/>
          <w:numId w:val="1005"/>
        </w:numPr>
        <w:pStyle w:val="Compact"/>
      </w:pPr>
      <w:r>
        <w:t xml:space="preserve">Repositorio de Código fuente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2023-08-31T15:41:20Z</dcterms:created>
  <dcterms:modified xsi:type="dcterms:W3CDTF">2023-08-31T15:41:20Z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