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X5ba0ba8f3c80d971aa12cdd868cb4478fddaeda"/>
    <w:p>
      <w:pPr>
        <w:pStyle w:val="Ttulo3"/>
      </w:pPr>
      <w:r>
        <w:t xml:space="preserve">Arquitectura de aplicación escalable en la​ Nube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Alcanzar mejores niveles de eficiencia operativa, mayor escalabilidad y rendimiento mejorado​</w:t>
      </w: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Adopción de un enfoque de microservicios ​</w:t>
      </w:r>
    </w:p>
    <w:p>
      <w:pPr>
        <w:numPr>
          <w:ilvl w:val="0"/>
          <w:numId w:val="1001"/>
        </w:numPr>
        <w:pStyle w:val="Compact"/>
      </w:pPr>
      <w:r>
        <w:t xml:space="preserve">Orquestación de contenedores</w:t>
      </w:r>
    </w:p>
    <w:p>
      <w:pPr>
        <w:numPr>
          <w:ilvl w:val="0"/>
          <w:numId w:val="1001"/>
        </w:numPr>
        <w:pStyle w:val="Compact"/>
      </w:pPr>
      <w:r>
        <w:t xml:space="preserve">Uso de servicios administrados (PaaS)</w:t>
      </w:r>
    </w:p>
    <w:bookmarkEnd w:id="21"/>
    <w:bookmarkStart w:id="22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Encargados de infraestructura y operaciones</w:t>
      </w:r>
    </w:p>
    <w:p>
      <w:pPr>
        <w:numPr>
          <w:ilvl w:val="0"/>
          <w:numId w:val="1002"/>
        </w:numPr>
        <w:pStyle w:val="Compact"/>
      </w:pPr>
      <w:r>
        <w:t xml:space="preserve">Oficina de arquitectura</w:t>
      </w:r>
    </w:p>
    <w:p>
      <w:pPr>
        <w:numPr>
          <w:ilvl w:val="0"/>
          <w:numId w:val="1002"/>
        </w:numPr>
        <w:pStyle w:val="Compact"/>
      </w:pPr>
      <w:r>
        <w:t xml:space="preserve">Consultores / fabricantes de apoyo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Permitir capacidad de cómputo particular según sea requerido para soportar la carga. Este enfoque permite aprovechar de mejor forma la elasticidad que ofrece la nube.</w:t>
      </w:r>
    </w:p>
    <w:p>
      <w:pPr>
        <w:numPr>
          <w:ilvl w:val="0"/>
          <w:numId w:val="1003"/>
        </w:numPr>
        <w:pStyle w:val="Compact"/>
      </w:pPr>
      <w:r>
        <w:t xml:space="preserve">Automatizar tareas como parches, aprovisionamiento de nodos y actualizaciones. Gestión dinámica con base a la demanda.</w:t>
      </w:r>
    </w:p>
    <w:p>
      <w:pPr>
        <w:numPr>
          <w:ilvl w:val="0"/>
          <w:numId w:val="1003"/>
        </w:numPr>
        <w:pStyle w:val="Compact"/>
      </w:pPr>
      <w:r>
        <w:t xml:space="preserve">Evitar tareas administrativas, como el aprovisionamiento de hardware, parches de software, configuración, ajustes, recuperación de fallos y respaldos de seguridad​</w:t>
      </w:r>
    </w:p>
    <w:bookmarkEnd w:id="23"/>
    <w:bookmarkStart w:id="24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4"/>
        </w:numPr>
        <w:pStyle w:val="Compact"/>
      </w:pPr>
      <w:r>
        <w:t xml:space="preserve">Determinar los elementos que son susceptibles de transformar o que pueden hacer uso de microservicios</w:t>
      </w:r>
    </w:p>
    <w:p>
      <w:pPr>
        <w:numPr>
          <w:ilvl w:val="0"/>
          <w:numId w:val="1004"/>
        </w:numPr>
        <w:pStyle w:val="Compact"/>
      </w:pPr>
      <w:r>
        <w:t xml:space="preserve">Identificar los servicios o componentes que pueden implementarse como</w:t>
      </w:r>
      <w:r>
        <w:t xml:space="preserve"> </w:t>
      </w:r>
      <w:r>
        <w:t xml:space="preserve">‘</w:t>
      </w:r>
      <w:r>
        <w:t xml:space="preserve">servicios administrados</w:t>
      </w:r>
      <w:r>
        <w:t xml:space="preserve">’</w:t>
      </w:r>
    </w:p>
    <w:p>
      <w:pPr>
        <w:numPr>
          <w:ilvl w:val="0"/>
          <w:numId w:val="1004"/>
        </w:numPr>
        <w:pStyle w:val="Compact"/>
      </w:pPr>
      <w:r>
        <w:t xml:space="preserve">Integrar esta arquitectura dentro del enfoque DevOps</w:t>
      </w:r>
    </w:p>
    <w:bookmarkEnd w:id="24"/>
    <w:bookmarkStart w:id="25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5"/>
        </w:numPr>
        <w:pStyle w:val="Compact"/>
      </w:pPr>
      <w:r>
        <w:t xml:space="preserve">Servicios Administrados</w:t>
      </w:r>
    </w:p>
    <w:p>
      <w:pPr>
        <w:numPr>
          <w:ilvl w:val="0"/>
          <w:numId w:val="1005"/>
        </w:numPr>
        <w:pStyle w:val="Compact"/>
      </w:pPr>
      <w:r>
        <w:t xml:space="preserve">Integración de sistemas</w:t>
      </w:r>
    </w:p>
    <w:p>
      <w:pPr>
        <w:numPr>
          <w:ilvl w:val="0"/>
          <w:numId w:val="1005"/>
        </w:numPr>
        <w:pStyle w:val="Compact"/>
      </w:pPr>
      <w:r>
        <w:t xml:space="preserve">Kubernetes</w:t>
      </w:r>
    </w:p>
    <w:p>
      <w:pPr>
        <w:pStyle w:val="FirstParagraph"/>
      </w:pP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2023-03-24T14:49:52Z</dcterms:created>
  <dcterms:modified xsi:type="dcterms:W3CDTF">2023-03-24T14:49:52Z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