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infraestructura-de-datos-de-autoservicio"/>
    <w:p>
      <w:pPr>
        <w:pStyle w:val="Ttulo3"/>
      </w:pPr>
      <w:r>
        <w:t xml:space="preserve">Infraestructura de datos de autoservicio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Soportar a nivel técnico la iniciativa de</w:t>
      </w:r>
      <w:r>
        <w:t xml:space="preserve"> </w:t>
      </w:r>
      <w:r>
        <w:t xml:space="preserve">‘</w:t>
      </w:r>
      <w:r>
        <w:t xml:space="preserve">Data Mesh</w:t>
      </w:r>
      <w:r>
        <w:t xml:space="preserve">’</w:t>
      </w:r>
      <w:r>
        <w:t xml:space="preserve">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de la seguridad​</w:t>
      </w:r>
    </w:p>
    <w:p>
      <w:pPr>
        <w:numPr>
          <w:ilvl w:val="0"/>
          <w:numId w:val="1001"/>
        </w:numPr>
        <w:pStyle w:val="Compact"/>
      </w:pPr>
      <w:r>
        <w:t xml:space="preserve">Integración con sistemas existentes</w:t>
      </w:r>
    </w:p>
    <w:p>
      <w:pPr>
        <w:numPr>
          <w:ilvl w:val="0"/>
          <w:numId w:val="1001"/>
        </w:numPr>
        <w:pStyle w:val="Compact"/>
      </w:pPr>
      <w:r>
        <w:t xml:space="preserve">Plataformas de datos en la nube / Escalabilidad​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 / Arquitecto de datos​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El área de IT solo está involucrada en aspectos técnicos y soportar la evolución con base en el mapa de ruta de</w:t>
      </w:r>
      <w:r>
        <w:t xml:space="preserve"> </w:t>
      </w:r>
      <w:r>
        <w:t xml:space="preserve">“</w:t>
      </w:r>
      <w:r>
        <w:t xml:space="preserve">Data mesh</w:t>
      </w:r>
      <w:r>
        <w:t xml:space="preserve">”</w:t>
      </w:r>
      <w:r>
        <w:t xml:space="preserve"> </w:t>
      </w:r>
      <w:r>
        <w:t xml:space="preserve">y cada equipo de dominio.</w:t>
      </w:r>
    </w:p>
    <w:p>
      <w:pPr>
        <w:numPr>
          <w:ilvl w:val="0"/>
          <w:numId w:val="1003"/>
        </w:numPr>
        <w:pStyle w:val="Compact"/>
      </w:pPr>
      <w:r>
        <w:t xml:space="preserve">Cambio cultural para operar y monitorear este tipo de tecnología. </w:t>
      </w:r>
    </w:p>
    <w:p>
      <w:pPr>
        <w:numPr>
          <w:ilvl w:val="0"/>
          <w:numId w:val="1003"/>
        </w:numPr>
        <w:pStyle w:val="Compact"/>
      </w:pPr>
      <w:r>
        <w:t xml:space="preserve">El autoservicio conlleva la capacidad de proporcionar y asignar los recursos de hardware y aplicaciones de la plataforma de datos a petición de los dominios de datos.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Selección de herramientas y tecnologías con base en las iniciativas y proveedores con los que cuente la organización</w:t>
      </w:r>
    </w:p>
    <w:p>
      <w:pPr>
        <w:numPr>
          <w:ilvl w:val="0"/>
          <w:numId w:val="1004"/>
        </w:numPr>
        <w:pStyle w:val="Compact"/>
      </w:pPr>
      <w:r>
        <w:t xml:space="preserve">Establecer políticas y procedimientos adecuados para garantizar que los datos estén protegidos y sean de alta calidad​</w:t>
      </w:r>
    </w:p>
    <w:p>
      <w:pPr>
        <w:numPr>
          <w:ilvl w:val="0"/>
          <w:numId w:val="1004"/>
        </w:numPr>
        <w:pStyle w:val="Compact"/>
      </w:pPr>
      <w:r>
        <w:t xml:space="preserve">Monitorear adecuadamente el gasto (Modelo de operación FinOps)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Microservicios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2023-08-31T15:51:45Z</dcterms:created>
  <dcterms:modified xsi:type="dcterms:W3CDTF">2023-08-31T15:51:45Z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