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9629b74e4a54b1bf8534ec8b990febb57c5cdc6"/>
    <w:p>
      <w:pPr>
        <w:pStyle w:val="Ttulo3"/>
      </w:pPr>
      <w:r>
        <w:t xml:space="preserve">BR010. Estandarización de Integración ESB FNA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integración y comunicación entre servicios gestionados por el bus de datos empresarial ESB IBM FNA.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Incluir formas de integración más flexibles y cercanas a lo funcional vía API, granulares, reutilizables y mediadas por niveles de exposición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Migrar la integración entre aplicaciones hacia la exposición de funcionalidades independientes de la aplicación (API)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en C. Constructor a los consumidores y aplicaciones clientes del producto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funcionalidades principales de C. Constructor</w:t>
      </w:r>
    </w:p>
    <w:p>
      <w:pPr>
        <w:numPr>
          <w:ilvl w:val="0"/>
          <w:numId w:val="1003"/>
        </w:numPr>
        <w:pStyle w:val="Compact"/>
      </w:pPr>
      <w:r>
        <w:t xml:space="preserve">Aumentar el nivel de capacidades y tecnologías del ESB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2023-02-28T11:36:31Z</dcterms:created>
  <dcterms:modified xsi:type="dcterms:W3CDTF">2023-02-28T11:36:31Z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