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1.-gobierno-soa"/>
    <w:p>
      <w:pPr>
        <w:pStyle w:val="Ttulo3"/>
      </w:pPr>
      <w:r>
        <w:t xml:space="preserve">A1. Gobierno SOA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Vigilar las relaciones entre las áreas de negocio (la vicepresidencia de operaciones y la vicepresidencia de crédito del FNA) y la implementación y diseño de soluciones SOA. El gobierno SOA del Fondo debe asistir en la aplicación y ejecución de un estándar de implementación, observación y puesta en marcha de soluciones SOA.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Promover la institucionalización de la arquitectura de referencia y del proceso de desarrollo de las soluciones SOA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Comité asesor 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estratégica y control de la operación SOA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Crear e institucionalizar el comité de gobierno SOA del FNA</w:t>
      </w:r>
    </w:p>
    <w:p>
      <w:pPr>
        <w:numPr>
          <w:ilvl w:val="0"/>
          <w:numId w:val="1004"/>
        </w:numPr>
        <w:pStyle w:val="Compact"/>
      </w:pPr>
      <w:r>
        <w:t xml:space="preserve">Definir los roles y responsabilidades para la instalación del comité</w:t>
      </w:r>
    </w:p>
    <w:p>
      <w:pPr>
        <w:numPr>
          <w:ilvl w:val="0"/>
          <w:numId w:val="1004"/>
        </w:numPr>
        <w:pStyle w:val="Compact"/>
      </w:pPr>
      <w:r>
        <w:t xml:space="preserve">Elaborar los lineamientos, políticas y procesos de gobierno SOA del FNA</w:t>
      </w:r>
    </w:p>
    <w:p>
      <w:pPr>
        <w:numPr>
          <w:ilvl w:val="0"/>
          <w:numId w:val="1004"/>
        </w:numPr>
        <w:pStyle w:val="Compact"/>
      </w:pPr>
      <w:r>
        <w:t xml:space="preserve">Medir las decisiones de gobierno sobre la arquitectura y el proceso de desarrollo de soluciones SOA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 centralizado SOA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2023-10-19T20:49:29Z</dcterms:created>
  <dcterms:modified xsi:type="dcterms:W3CDTF">2023-10-19T20:49:29Z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