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enlace directo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p>
      <w:pPr>
        <w:numPr>
          <w:ilvl w:val="0"/>
          <w:numId w:val="1003"/>
        </w:numPr>
        <w:pStyle w:val="Compact"/>
      </w:pPr>
      <w:r>
        <w:t xml:space="preserve">Dar garantía de la alineación de las soluciones con áreas de negocio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2023-08-31T15:03:31Z</dcterms:created>
  <dcterms:modified xsi:type="dcterms:W3CDTF">2023-08-31T15:03:31Z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