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oficina-de-arquitectura"/>
    <w:p>
      <w:pPr>
        <w:pStyle w:val="Ttulo3"/>
      </w:pPr>
      <w:r>
        <w:t xml:space="preserve">Oficina de arquitectura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Equipo de trabajo, conforme al gobierno SOA, a cargo de los roles de gestión de la tecnología y arquitectura en los ámbitos específicos de diseño de servicios SOA y componentes de software, infraestructura tecnológica y redes, aplicaciones y herramientas de software, y especialista estructuras de datos e información negocio. Rol general: gestión de conocimiento de la arquitectura de referencia.​</w:t>
      </w: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Institucionalizar el rol y los deberes y responsabilidad del grupo de arquitectura</w:t>
      </w:r>
    </w:p>
    <w:p>
      <w:pPr>
        <w:numPr>
          <w:ilvl w:val="0"/>
          <w:numId w:val="1001"/>
        </w:numPr>
        <w:pStyle w:val="Compact"/>
      </w:pPr>
      <w:r>
        <w:t xml:space="preserve">Hacer una gestión cada vez más efectiva del conocimiento en arquitectura del FNA​</w:t>
      </w:r>
    </w:p>
    <w:bookmarkEnd w:id="21"/>
    <w:bookmarkStart w:id="22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2"/>
        </w:numPr>
        <w:pStyle w:val="Compact"/>
      </w:pPr>
      <w:r>
        <w:t xml:space="preserve">Dirección TI</w:t>
      </w:r>
    </w:p>
    <w:p>
      <w:pPr>
        <w:numPr>
          <w:ilvl w:val="0"/>
          <w:numId w:val="1002"/>
        </w:numPr>
        <w:pStyle w:val="Compact"/>
      </w:pPr>
      <w:r>
        <w:t xml:space="preserve">Unidades de negocio​</w:t>
      </w:r>
    </w:p>
    <w:p>
      <w:pPr>
        <w:numPr>
          <w:ilvl w:val="0"/>
          <w:numId w:val="1002"/>
        </w:numPr>
        <w:pStyle w:val="Compact"/>
      </w:pPr>
      <w:r>
        <w:t xml:space="preserve">Consultores de soporte​</w:t>
      </w:r>
    </w:p>
    <w:p>
      <w:pPr>
        <w:pStyle w:val="FirstParagraph"/>
      </w:pPr>
      <w:r>
        <w:t xml:space="preserve">Impacto / Beneficio</w:t>
      </w:r>
      <w:r>
        <w:t xml:space="preserve"> </w:t>
      </w:r>
      <w:r>
        <w:t xml:space="preserve">A. Gestionar el conocimiento en arquitectura del FNA​</w:t>
      </w:r>
      <w:r>
        <w:t xml:space="preserve"> </w:t>
      </w:r>
      <w:r>
        <w:t xml:space="preserve">B. Proveer un enlace directo desde la oficina de arquitectura con los consultores en arquitectura​</w:t>
      </w:r>
      <w:r>
        <w:t xml:space="preserve"> </w:t>
      </w:r>
      <w:r>
        <w:t xml:space="preserve">C. Gobernar la arquitectura de referencia de la organización​</w:t>
      </w:r>
    </w:p>
    <w:bookmarkEnd w:id="22"/>
    <w:bookmarkStart w:id="23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3"/>
        </w:numPr>
        <w:pStyle w:val="Compact"/>
      </w:pPr>
      <w:r>
        <w:t xml:space="preserve">Definición de funciones y roles de los miembros de la oficina​</w:t>
      </w:r>
    </w:p>
    <w:p>
      <w:pPr>
        <w:numPr>
          <w:ilvl w:val="0"/>
          <w:numId w:val="1003"/>
        </w:numPr>
        <w:pStyle w:val="Compact"/>
      </w:pPr>
      <w:r>
        <w:t xml:space="preserve">Definir procesos y niveles de servicio de la oficina​</w:t>
      </w:r>
    </w:p>
    <w:p>
      <w:pPr>
        <w:numPr>
          <w:ilvl w:val="0"/>
          <w:numId w:val="1003"/>
        </w:numPr>
        <w:pStyle w:val="Compact"/>
      </w:pPr>
      <w:r>
        <w:t xml:space="preserve">Dar lanzamiento a la oficina​</w:t>
      </w:r>
    </w:p>
    <w:bookmarkEnd w:id="23"/>
    <w:bookmarkStart w:id="24" w:name="tecnología"/>
    <w:p>
      <w:pPr>
        <w:pStyle w:val="Ttulo4"/>
      </w:pPr>
      <w:r>
        <w:t xml:space="preserve">Tecnología</w:t>
      </w:r>
    </w:p>
    <w:p>
      <w:pPr>
        <w:numPr>
          <w:ilvl w:val="0"/>
          <w:numId w:val="1004"/>
        </w:numPr>
        <w:pStyle w:val="Compact"/>
      </w:pPr>
      <w:r>
        <w:t xml:space="preserve">Arquitectura de referencia</w:t>
      </w:r>
    </w:p>
    <w:p>
      <w:pPr>
        <w:numPr>
          <w:ilvl w:val="0"/>
          <w:numId w:val="1004"/>
        </w:numPr>
        <w:pStyle w:val="Compact"/>
      </w:pPr>
      <w:r>
        <w:t xml:space="preserve">Depósito de Arquitectura</w:t>
      </w:r>
    </w:p>
    <w:p>
      <w:pPr>
        <w:pStyle w:val="FirstParagraph"/>
      </w:pP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2023-02-28T06:56:08Z</dcterms:created>
  <dcterms:modified xsi:type="dcterms:W3CDTF">2023-02-28T06:56:08Z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