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Gestionar el conocimiento en arquitectura del FNA​</w:t>
      </w:r>
    </w:p>
    <w:p>
      <w:pPr>
        <w:numPr>
          <w:ilvl w:val="0"/>
          <w:numId w:val="1003"/>
        </w:numPr>
        <w:pStyle w:val="Compact"/>
      </w:pPr>
      <w:r>
        <w:t xml:space="preserve">Proveer un enlace directo desde la oficina de arquitectura con los consultores en arquitectura​</w:t>
      </w:r>
    </w:p>
    <w:p>
      <w:pPr>
        <w:numPr>
          <w:ilvl w:val="0"/>
          <w:numId w:val="1003"/>
        </w:numPr>
        <w:pStyle w:val="Compact"/>
      </w:pPr>
      <w:r>
        <w:t xml:space="preserve">Gobernar la arquitectura de referencia de la organización​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4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4"/>
        </w:numPr>
        <w:pStyle w:val="Compact"/>
      </w:pPr>
      <w:r>
        <w:t xml:space="preserve">Dar lanzamiento a la oficina​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Arquitectura de referencia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2023-08-31T14:52:49Z</dcterms:created>
  <dcterms:modified xsi:type="dcterms:W3CDTF">2023-08-31T14:52:49Z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