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p>
      <w:pPr>
        <w:pStyle w:val="FirstParagraph"/>
      </w:pPr>
      <w:r>
        <w:t xml:space="preserve">Impacto / Beneficio</w:t>
      </w:r>
      <w:r>
        <w:t xml:space="preserve"> </w:t>
      </w:r>
      <w:r>
        <w:t xml:space="preserve">A. Gestionar el conocimiento en arquitectura del FNA​</w:t>
      </w:r>
      <w:r>
        <w:t xml:space="preserve"> </w:t>
      </w:r>
      <w:r>
        <w:t xml:space="preserve">B. Proveer un enlace directo desde la oficina de arquitectura con los consultores en arquitectura​</w:t>
      </w:r>
      <w:r>
        <w:t xml:space="preserve"> </w:t>
      </w:r>
      <w:r>
        <w:t xml:space="preserve">C. Gobernar la arquitectura de referencia de la organización​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3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3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3"/>
        </w:numPr>
        <w:pStyle w:val="Compact"/>
      </w:pPr>
      <w:r>
        <w:t xml:space="preserve">Dar lanzamiento a la oficina​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Arquitectura de referencia</w:t>
      </w:r>
    </w:p>
    <w:p>
      <w:pPr>
        <w:numPr>
          <w:ilvl w:val="0"/>
          <w:numId w:val="1004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2023-03-07T21:39:02Z</dcterms:created>
  <dcterms:modified xsi:type="dcterms:W3CDTF">2023-03-07T21:39:02Z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