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rquitectura-de-referencia-soa-2.0"/>
    <w:p>
      <w:pPr>
        <w:pStyle w:val="Ttulo3"/>
      </w:pPr>
      <w:r>
        <w:t xml:space="preserve">Arquitectura de referencia SOA 2.0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Evolucionar el desarrollo de los servicios SOA del FNA hacia diseños y tecnologías determinadas en la arquitectura de referencia 2.0 (como microservicios, REST, API, infraestructura Nube, …) y favorecer la adopción de un estilo de arquitectura orientado a eventos. 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Dirigir la transformación mediante transiciones de arquitectura</w:t>
      </w:r>
    </w:p>
    <w:p>
      <w:pPr>
        <w:numPr>
          <w:ilvl w:val="0"/>
          <w:numId w:val="1001"/>
        </w:numPr>
        <w:pStyle w:val="Compact"/>
      </w:pPr>
      <w:r>
        <w:t xml:space="preserve">Organizar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Fortalecer el diseño como gestor de arquitecturas y cambios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2023-10-19T20:49:30Z</dcterms:created>
  <dcterms:modified xsi:type="dcterms:W3CDTF">2023-10-19T20:49:30Z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