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SOA del FNA hacia diseños y tecnologías determinadas en la arquitectura de referencia 2.0 (como microservicios, REST, API, infraestructura Nube, …) y favorecer la adopción de un estilo de arquitectura orientado a eventos. 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 SOA/TI del Fondo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a profundidad de vistas funcional,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lenguaje y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Crear y administrar las transiciones hacia la arquitectura versión 2.0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p>
      <w:pPr>
        <w:numPr>
          <w:ilvl w:val="0"/>
          <w:numId w:val="1004"/>
        </w:numPr>
        <w:pStyle w:val="Compact"/>
      </w:pPr>
      <w:r>
        <w:t xml:space="preserve">Crear inventario de artefactos modelo-serie de aceleración de implementación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2023-05-24T05:55:14Z</dcterms:created>
  <dcterms:modified xsi:type="dcterms:W3CDTF">2023-05-24T05:55:14Z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