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rquitectura-de-referencia-soa-2.0"/>
    <w:p>
      <w:pPr>
        <w:pStyle w:val="Ttulo3"/>
      </w:pPr>
      <w:r>
        <w:t xml:space="preserve">Arquitectura de referencia SOA 2.0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Evolucionar el desarrollo de los servicios SOA del FNA hacia diseños y tecnologías determinadas en la arquitectura de referencia 2.0 (como microservicios, REST, API, infraestructura Nube, …) y favorecer la adopción de un estilo de arquitectura orientado a eventos. 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 SOA/TI del Fondo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a profundidad de vistas funcional,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lenguaje y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Crear y administrar las transiciones hacia la arquitectura versión 2.0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p>
      <w:pPr>
        <w:numPr>
          <w:ilvl w:val="0"/>
          <w:numId w:val="1004"/>
        </w:numPr>
        <w:pStyle w:val="Compact"/>
      </w:pPr>
      <w:r>
        <w:t xml:space="preserve">Crear inventario de artefactos modelo-serie de aceleración de implementación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2023-08-04T03:37:20Z</dcterms:created>
  <dcterms:modified xsi:type="dcterms:W3CDTF">2023-08-04T03:37:20Z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