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icroservicios"/>
    <w:p>
      <w:pPr>
        <w:pStyle w:val="Ttulo3"/>
      </w:pPr>
      <w:r>
        <w:t xml:space="preserve">Microservicios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Promover el uso de microservicios como estilo de arquitectura para ser integrado con la estrategia SOA existente en 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Proponer esquemas de arquitectura desacopladas​</w:t>
      </w:r>
    </w:p>
    <w:p>
      <w:pPr>
        <w:numPr>
          <w:ilvl w:val="0"/>
          <w:numId w:val="1001"/>
        </w:numPr>
        <w:pStyle w:val="Compact"/>
      </w:pPr>
      <w:r>
        <w:t xml:space="preserve">Actualizar el portafolio de servicios con tecnologías actuales mediante un estilo de arquitectura orientada a microservicios​</w:t>
      </w:r>
    </w:p>
    <w:p>
      <w:pPr>
        <w:numPr>
          <w:ilvl w:val="0"/>
          <w:numId w:val="1001"/>
        </w:numPr>
        <w:pStyle w:val="Compact"/>
      </w:pPr>
      <w:r>
        <w:t xml:space="preserve">Agilidad en el desarrollo de soluciones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Desarrollo / operaciones​</w:t>
      </w:r>
    </w:p>
    <w:p>
      <w:pPr>
        <w:numPr>
          <w:ilvl w:val="0"/>
          <w:numId w:val="1002"/>
        </w:numPr>
        <w:pStyle w:val="Compact"/>
      </w:pPr>
      <w:r>
        <w:t xml:space="preserve">Consultores SOA​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Actualización tecnológica​</w:t>
      </w:r>
    </w:p>
    <w:p>
      <w:pPr>
        <w:numPr>
          <w:ilvl w:val="0"/>
          <w:numId w:val="1003"/>
        </w:numPr>
        <w:pStyle w:val="Compact"/>
      </w:pPr>
      <w:r>
        <w:t xml:space="preserve">Disminución en los costos y tiempos asociados al desarrollo de soluciones SOA​</w:t>
      </w:r>
    </w:p>
    <w:p>
      <w:pPr>
        <w:numPr>
          <w:ilvl w:val="0"/>
          <w:numId w:val="1003"/>
        </w:numPr>
        <w:pStyle w:val="Compact"/>
      </w:pPr>
      <w:r>
        <w:t xml:space="preserve">Modernización y utilización de los mecanismos de integración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Revisión del proceso de desarrollo de software del FNA​</w:t>
      </w:r>
    </w:p>
    <w:p>
      <w:pPr>
        <w:numPr>
          <w:ilvl w:val="0"/>
          <w:numId w:val="1004"/>
        </w:numPr>
        <w:pStyle w:val="Compact"/>
      </w:pPr>
      <w:r>
        <w:t xml:space="preserve">Apropiación de técnicas de desarrollo ágil - DevOps​</w:t>
      </w:r>
    </w:p>
    <w:p>
      <w:pPr>
        <w:numPr>
          <w:ilvl w:val="0"/>
          <w:numId w:val="1004"/>
        </w:numPr>
        <w:pStyle w:val="Compact"/>
      </w:pPr>
      <w:r>
        <w:t xml:space="preserve">Metodologías de análisis, diseño e implementación orientadas a microservicios​</w:t>
      </w:r>
    </w:p>
    <w:p>
      <w:pPr>
        <w:numPr>
          <w:ilvl w:val="0"/>
          <w:numId w:val="1004"/>
        </w:numPr>
        <w:pStyle w:val="Compact"/>
      </w:pPr>
      <w:r>
        <w:t xml:space="preserve">Adecuación de la infraestructura para soportar los flujos de despliegue continuo / integración continua y desarrollo de Microservicios​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Herramientas de desarrollo</w:t>
      </w:r>
    </w:p>
    <w:p>
      <w:pPr>
        <w:numPr>
          <w:ilvl w:val="0"/>
          <w:numId w:val="1005"/>
        </w:numPr>
        <w:pStyle w:val="Compact"/>
      </w:pPr>
      <w:r>
        <w:t xml:space="preserve">Herramientas de despliegue continuo / IC</w:t>
      </w:r>
    </w:p>
    <w:p>
      <w:pPr>
        <w:numPr>
          <w:ilvl w:val="0"/>
          <w:numId w:val="1005"/>
        </w:numPr>
        <w:pStyle w:val="Compact"/>
      </w:pPr>
      <w:r>
        <w:t xml:space="preserve">Tecnologías cloud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2023-10-19T20:49:30Z</dcterms:created>
  <dcterms:modified xsi:type="dcterms:W3CDTF">2023-10-19T20:49:30Z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