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ortafolio-de-api"/>
    <w:p>
      <w:pPr>
        <w:pStyle w:val="Ttulo4"/>
      </w:pPr>
      <w:r>
        <w:t xml:space="preserve">Portafolio de API</w:t>
      </w:r>
    </w:p>
    <w:bookmarkEnd w:id="20"/>
    <w:bookmarkStart w:id="21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Establecer un portafolio institucional de funcionalidades, recursos y datos expuestos en API, que sirva como fuente única de la verdad sobre las versiones, tecnologías y características de todas las API de la organización​</w:t>
      </w:r>
    </w:p>
    <w:bookmarkEnd w:id="21"/>
    <w:bookmarkStart w:id="22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Gestión y estructuración del portafolio de API del FNA​</w:t>
      </w:r>
    </w:p>
    <w:p>
      <w:pPr>
        <w:numPr>
          <w:ilvl w:val="0"/>
          <w:numId w:val="1001"/>
        </w:numPr>
        <w:pStyle w:val="Compact"/>
      </w:pPr>
      <w:r>
        <w:t xml:space="preserve">Definición de los contratos de las API, las tecnologías y los atributos de calidad de las API de la organización​</w:t>
      </w:r>
    </w:p>
    <w:bookmarkEnd w:id="22"/>
    <w:bookmarkStart w:id="23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Unidades de negocio​</w:t>
      </w:r>
    </w:p>
    <w:p>
      <w:pPr>
        <w:numPr>
          <w:ilvl w:val="0"/>
          <w:numId w:val="1002"/>
        </w:numPr>
        <w:pStyle w:val="Compact"/>
      </w:pPr>
      <w:r>
        <w:t xml:space="preserve">Oficina de Arquitectura​</w:t>
      </w:r>
    </w:p>
    <w:p>
      <w:pPr>
        <w:numPr>
          <w:ilvl w:val="0"/>
          <w:numId w:val="1002"/>
        </w:numPr>
        <w:pStyle w:val="Compact"/>
      </w:pPr>
      <w:r>
        <w:t xml:space="preserve">Proveedores del FNA (Cobis, IBM, Oracle)​</w:t>
      </w:r>
    </w:p>
    <w:p>
      <w:pPr>
        <w:numPr>
          <w:ilvl w:val="0"/>
          <w:numId w:val="1002"/>
        </w:numPr>
        <w:pStyle w:val="Compact"/>
      </w:pPr>
      <w:r>
        <w:t xml:space="preserve">Consultores / fabricantes de apoyo​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Mejorar el gobierno y las estrategias de evolución y mantenimiento de las API del FNA​</w:t>
      </w:r>
    </w:p>
    <w:p>
      <w:pPr>
        <w:numPr>
          <w:ilvl w:val="0"/>
          <w:numId w:val="1003"/>
        </w:numPr>
        <w:pStyle w:val="Compact"/>
      </w:pPr>
      <w:r>
        <w:t xml:space="preserve">Mayor control en el diseño, desarrollo y operación de las API​</w:t>
      </w:r>
    </w:p>
    <w:p>
      <w:pPr>
        <w:numPr>
          <w:ilvl w:val="0"/>
          <w:numId w:val="1003"/>
        </w:numPr>
        <w:pStyle w:val="Compact"/>
      </w:pPr>
      <w:r>
        <w:t xml:space="preserve">Punto único de búsqueda y localización de API y servicios en la organización​</w:t>
      </w:r>
    </w:p>
    <w:bookmarkEnd w:id="24"/>
    <w:bookmarkStart w:id="25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Estructuración del portafolio, en API privadas, públicas y consorcio​</w:t>
      </w:r>
    </w:p>
    <w:p>
      <w:pPr>
        <w:numPr>
          <w:ilvl w:val="0"/>
          <w:numId w:val="1004"/>
        </w:numPr>
        <w:pStyle w:val="Compact"/>
      </w:pPr>
      <w:r>
        <w:t xml:space="preserve">Diseño de la estructura y organización de las API de la organización​</w:t>
      </w:r>
    </w:p>
    <w:p>
      <w:pPr>
        <w:numPr>
          <w:ilvl w:val="0"/>
          <w:numId w:val="1004"/>
        </w:numPr>
        <w:pStyle w:val="Compact"/>
      </w:pPr>
      <w:r>
        <w:t xml:space="preserve">Definición de lineamientos y políticas de uso de las API ​</w:t>
      </w:r>
    </w:p>
    <w:p>
      <w:pPr>
        <w:numPr>
          <w:ilvl w:val="0"/>
          <w:numId w:val="1004"/>
        </w:numPr>
        <w:pStyle w:val="Compact"/>
      </w:pPr>
      <w:r>
        <w:t xml:space="preserve">Tecnologías e infraestructura requeridas para el desarrollo, pruebas y operación de las diferentes API​</w:t>
      </w:r>
    </w:p>
    <w:bookmarkEnd w:id="25"/>
    <w:bookmarkStart w:id="26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Portafolio de API</w:t>
      </w:r>
    </w:p>
    <w:p>
      <w:pPr>
        <w:numPr>
          <w:ilvl w:val="0"/>
          <w:numId w:val="1005"/>
        </w:numPr>
        <w:pStyle w:val="Compact"/>
      </w:pPr>
      <w:r>
        <w:t xml:space="preserve">Herramientas de diseño de API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2023-08-31T14:55:37Z</dcterms:created>
  <dcterms:modified xsi:type="dcterms:W3CDTF">2023-08-31T14:55:37Z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