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ervice-mesh"/>
    <w:p>
      <w:pPr>
        <w:pStyle w:val="Ttulo3"/>
      </w:pPr>
      <w:r>
        <w:t xml:space="preserve">Service Mesh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Mejorar de la comunicación, estabilidad (reintento y tolerancia a fallos) y la disponibilidad de servicios SOA y microservicios del Fondo mediante el uso de proxys.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Modernizar los mecanismos de orquestación de servicios​</w:t>
      </w:r>
    </w:p>
    <w:p>
      <w:pPr>
        <w:numPr>
          <w:ilvl w:val="0"/>
          <w:numId w:val="1001"/>
        </w:numPr>
        <w:pStyle w:val="Compact"/>
      </w:pPr>
      <w:r>
        <w:t xml:space="preserve">Proponer alternativas para el manejo de escalabilidad, seguridad y monitoreo de servicios​</w:t>
      </w:r>
    </w:p>
    <w:p>
      <w:pPr>
        <w:numPr>
          <w:ilvl w:val="0"/>
          <w:numId w:val="1001"/>
        </w:numPr>
        <w:pStyle w:val="Compact"/>
      </w:pPr>
      <w:r>
        <w:t xml:space="preserve">Proponer esquemas de operación de servicios orientados a la nube​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Apoyo a la estrategia de transición hacia microservicios​</w:t>
      </w:r>
    </w:p>
    <w:p>
      <w:pPr>
        <w:numPr>
          <w:ilvl w:val="0"/>
          <w:numId w:val="1003"/>
        </w:numPr>
        <w:pStyle w:val="Compact"/>
      </w:pPr>
      <w:r>
        <w:t xml:space="preserve">Mayor control y monitoreo de los microservicios​</w:t>
      </w:r>
    </w:p>
    <w:p>
      <w:pPr>
        <w:numPr>
          <w:ilvl w:val="0"/>
          <w:numId w:val="1003"/>
        </w:numPr>
        <w:pStyle w:val="Compact"/>
      </w:pPr>
      <w:r>
        <w:t xml:space="preserve">Posibilidad de un despliegue multi-cloud de los microservicios​</w:t>
      </w:r>
    </w:p>
    <w:p>
      <w:pPr>
        <w:numPr>
          <w:ilvl w:val="0"/>
          <w:numId w:val="1003"/>
        </w:numPr>
        <w:pStyle w:val="Compact"/>
      </w:pPr>
      <w:r>
        <w:t xml:space="preserve">Mejorar mecanismos de comunicación y control de los micro servicios​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de arquitectura ​</w:t>
      </w:r>
    </w:p>
    <w:p>
      <w:pPr>
        <w:numPr>
          <w:ilvl w:val="0"/>
          <w:numId w:val="1004"/>
        </w:numPr>
        <w:pStyle w:val="Compact"/>
      </w:pPr>
      <w:r>
        <w:t xml:space="preserve">Instalación de una herramienta que implemente el patrón service-mesh (Control Plan – Data plane)​</w:t>
      </w:r>
    </w:p>
    <w:p>
      <w:pPr>
        <w:numPr>
          <w:ilvl w:val="0"/>
          <w:numId w:val="1004"/>
        </w:numPr>
        <w:pStyle w:val="Compact"/>
      </w:pPr>
      <w:r>
        <w:t xml:space="preserve">Prueba piloto inicial con un subconjunto de servicios​</w:t>
      </w:r>
    </w:p>
    <w:p>
      <w:pPr>
        <w:numPr>
          <w:ilvl w:val="0"/>
          <w:numId w:val="1004"/>
        </w:numPr>
        <w:pStyle w:val="Compact"/>
      </w:pPr>
      <w:r>
        <w:t xml:space="preserve">Extensión de la prueba piloto a un proceso de misión crítica​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Implementación service Mesh: Istio, Amazon App Mesh, Meshery</w:t>
      </w:r>
    </w:p>
    <w:p>
      <w:pPr>
        <w:numPr>
          <w:ilvl w:val="0"/>
          <w:numId w:val="1005"/>
        </w:numPr>
        <w:pStyle w:val="Compact"/>
      </w:pPr>
      <w:r>
        <w:t xml:space="preserve">Kubernetes</w:t>
      </w:r>
    </w:p>
    <w:p>
      <w:pPr>
        <w:numPr>
          <w:ilvl w:val="0"/>
          <w:numId w:val="1005"/>
        </w:numPr>
        <w:pStyle w:val="Compact"/>
      </w:pPr>
      <w:r>
        <w:t xml:space="preserve">Docker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2023-08-31T14:55:37Z</dcterms:created>
  <dcterms:modified xsi:type="dcterms:W3CDTF">2023-08-31T14:55:37Z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