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3-soa-objetivo"/>
    <w:p>
      <w:pPr>
        <w:pStyle w:val="Ttulo1"/>
      </w:pPr>
      <w:r>
        <w:t xml:space="preserve">Fase 3: SOA Objetivo</w:t>
      </w:r>
    </w:p>
    <w:bookmarkEnd w:id="20"/>
    <w:bookmarkStart w:id="21" w:name="Xde28353806a99316a61e306cd812fd556109b6d"/>
    <w:p>
      <w:pPr>
        <w:pStyle w:val="Ttulo1"/>
      </w:pPr>
      <w:r>
        <w:t xml:space="preserve">Contenido de los Productos Contractuales, 181-2020</w:t>
      </w:r>
    </w:p>
    <w:bookmarkEnd w:id="21"/>
    <w:bookmarkStart w:id="25" w:name="producto-10-pr10.-hoja-de-ruta-soa"/>
    <w:p>
      <w:pPr>
        <w:pStyle w:val="Ttulo1"/>
      </w:pPr>
      <w:r>
        <w:t xml:space="preserve">Producto 10: PR10. Hoja de Ruta SOA</w:t>
      </w:r>
    </w:p>
    <w:p>
      <w:pPr>
        <w:pStyle w:val="FirstParagraph"/>
      </w:pPr>
      <w:r>
        <w:t xml:space="preserve">La hoja de ruta SOA (o el plan de migración) es la programación en el tiempo de un rumbo viable de cambios (migración) en la arquitectura SOA actual del FNA con la intención de moverla de un estado a otro. Plantea el despliegue en el tiempo de la ejecución de las capacidades y proyectos de migración (rollout) de la arquitectura SOA actual del FNA que resulten en la arquitectura SOA candidata con arreglo al portafolio de iniciativas y proyectos (producto 9) del presente diagnóstico. La hoja de ruta plantea además un programa de los estadios intermedios requeridos, y sus controles, para llegar a la arquitectura SOA objetivo coordinado con la oficina de proyectos del FNA para asegurar</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Procura la articulación y gestión de dependencias de las iniciativas SOA del portafolio de la arquitectura SOA (producto 9 de este diagnóstico) con otros proyectos del FNA, a fin de economizar recursos o evitar colisiones. Asegura a la gerencia de tecnología del FNA los criterios para la vigilancia y los puntos de control y revisión de las migraciones transitorias y estables con el propósito de que los equipos implementen los proyectos conforme a los diseños. En términos generales,</w:t>
      </w:r>
      <w:r>
        <w:t xml:space="preserve"> </w:t>
      </w:r>
      <w:r>
        <w:rPr>
          <w:iCs/>
          <w:i/>
        </w:rPr>
        <w:t xml:space="preserve">este producto es el responsable de organizar la transformación de la arquitetura en implementación</w:t>
      </w:r>
      <w:r>
        <w:t xml:space="preserve">.</w:t>
      </w:r>
    </w:p>
    <w:bookmarkEnd w:id="22"/>
    <w:bookmarkStart w:id="23" w:name="contenidos"/>
    <w:p>
      <w:pPr>
        <w:pStyle w:val="Ttulo2"/>
      </w:pPr>
      <w:r>
        <w:t xml:space="preserve">Contenidos</w:t>
      </w:r>
    </w:p>
    <w:p>
      <w:pPr>
        <w:numPr>
          <w:ilvl w:val="0"/>
          <w:numId w:val="1001"/>
        </w:numPr>
        <w:pStyle w:val="Compact"/>
      </w:pPr>
      <w:r>
        <w:t xml:space="preserve">Hoja de ruta de los proyectos de cambio</w:t>
      </w:r>
    </w:p>
    <w:p>
      <w:pPr>
        <w:numPr>
          <w:ilvl w:val="0"/>
          <w:numId w:val="1001"/>
        </w:numPr>
        <w:pStyle w:val="Compact"/>
      </w:pPr>
      <w:r>
        <w:t xml:space="preserve">Estimaciones y análisis de impacto y dependencia entre los cambios en el segmento de la empresa</w:t>
      </w:r>
    </w:p>
    <w:p>
      <w:pPr>
        <w:numPr>
          <w:ilvl w:val="0"/>
          <w:numId w:val="1001"/>
        </w:numPr>
        <w:pStyle w:val="Compact"/>
      </w:pPr>
      <w:r>
        <w:t xml:space="preserve">Consideraciones para la ejecución de los primeros cambios</w:t>
      </w:r>
    </w:p>
    <w:p>
      <w:pPr>
        <w:numPr>
          <w:ilvl w:val="0"/>
          <w:numId w:val="1001"/>
        </w:numPr>
        <w:pStyle w:val="Compact"/>
      </w:pPr>
      <w:r>
        <w:t xml:space="preserve">Puntos de control en la ejecución de la hoja de ruta SOA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Lista de cambios para el segmento FNA: ítems incluídos, por mejorar, nuevos y eliminados</w:t>
      </w:r>
    </w:p>
    <w:p>
      <w:pPr>
        <w:numPr>
          <w:ilvl w:val="0"/>
          <w:numId w:val="1002"/>
        </w:numPr>
        <w:pStyle w:val="Compact"/>
      </w:pPr>
      <w:r>
        <w:t xml:space="preserve">Hoja de ruta preliminar hacia un objetivo de mejora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2023-02-22T10:41:09Z</dcterms:created>
  <dcterms:modified xsi:type="dcterms:W3CDTF">2023-02-22T10:41:09Z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