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1.png" ContentType="image/png"/>
  <Override PartName="/word/media/rId30.png" ContentType="image/png"/>
  <Override PartName="/word/media/rId27.png" ContentType="image/png"/>
  <Override PartName="/word/media/rId41.png" ContentType="image/png"/>
  <Override PartName="/word/media/rId34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891"/>
        <w:gridCol w:w="602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Portafolio de iniciativas y brechas:</w:t>
            </w:r>
            <w:r>
              <w:t xml:space="preserve"> </w:t>
            </w:r>
            <w:r>
              <w:rPr>
                <w:bCs/>
                <w:b/>
              </w:rPr>
              <w:t xml:space="preserve">Hoja de ruta de los proyectos de cambio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ea9ba99 del 31 Aug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bookmarkStart w:id="25" w:name="Xe8b290bf6bbbe8351a17f47bb578fe5e254361c"/>
    <w:p>
      <w:pPr>
        <w:pStyle w:val="Ttulo2"/>
      </w:pPr>
      <w:r>
        <w:t xml:space="preserve">Hoja de Ruta E-Service FNA de los Proyectos de Cambio</w:t>
      </w:r>
    </w:p>
    <w:p>
      <w:pPr>
        <w:pStyle w:val="Figure"/>
      </w:pPr>
      <w:r>
        <w:drawing>
          <wp:inline>
            <wp:extent cx="5600700" cy="3102348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images/hojaruta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1023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4">
        <w:r>
          <w:rPr>
            <w:rStyle w:val="Hipervnculo"/>
          </w:rPr>
          <w:t xml:space="preserve">Imagen 1.</w:t>
        </w:r>
      </w:hyperlink>
      <w:r>
        <w:t xml:space="preserve"> </w:t>
      </w:r>
      <w:r>
        <w:t xml:space="preserve">Proyectos de cierre de brecha FNA. Prioridades, dependencias, secuencia, puntos de control de la evolución de la arquitectura de referencia SOA 2.0 del Fondo.</w:t>
      </w:r>
    </w:p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bookmarkEnd w:id="25"/>
    <w:bookmarkStart w:id="26" w:name="asunto"/>
    <w:p>
      <w:pPr>
        <w:pStyle w:val="Ttulo2"/>
      </w:pPr>
      <w:r>
        <w:t xml:space="preserve">Asunto</w:t>
      </w:r>
    </w:p>
    <w:p>
      <w:pPr>
        <w:pStyle w:val="FirstParagraph"/>
      </w:pPr>
      <w:r>
        <w:t xml:space="preserve">La ejecución de la hoja de ruta E-Service (diagnóstico SOA) plantea la implementación de los proyectos de cierre de brechas que impacten a los problemas diagnosticados en dicho proyecto. Estos son: a la flexibilidad de negocio, al fortalecimiento de construcción y diseño de servicios, y a la independencia de proveedor, en el ámbito de las vicepresidencias de Crédito y de Operación, en el período de ejecución 2023.</w:t>
      </w:r>
    </w:p>
    <w:p>
      <w:pPr>
        <w:pStyle w:val="Textoindependiente"/>
      </w:pPr>
      <w:r>
        <w:t xml:space="preserve">Como resultado del inicio de la ejecución de la hoja de ruta el Fondo Nacional del Ahorro (FNA) procura 1) aumentar las capacidades de desarrollo de soluciones y requerimientos, y 2) modernizar y aumentar la capacidad del uso tecnológico de estas soluciones.</w:t>
      </w:r>
    </w:p>
    <w:p>
      <w:pPr>
        <w:pStyle w:val="Textoindependiente"/>
      </w:pPr>
      <w:r>
        <w:t xml:space="preserve">Puntualmente, la implementación (todos los proyectos) de la hoja de ruta, tal como está diagnosticada por E-Service, buscan los objetivos de:</w:t>
      </w:r>
    </w:p>
    <w:p>
      <w:pPr>
        <w:pStyle w:val="SourceCode"/>
      </w:pPr>
      <w:r>
        <w:rPr>
          <w:rStyle w:val="VerbatimChar"/>
        </w:rPr>
        <w:t xml:space="preserve">• Flexibilidad y tiempo de mercado (OBJ3)</w:t>
      </w:r>
      <w:r>
        <w:br/>
      </w:r>
      <w:r>
        <w:rPr>
          <w:rStyle w:val="VerbatimChar"/>
        </w:rPr>
        <w:t xml:space="preserve">• Fortaleza SOA de las aplicaciones (OBJ2)</w:t>
      </w:r>
      <w:r>
        <w:br/>
      </w:r>
      <w:r>
        <w:rPr>
          <w:rStyle w:val="VerbatimChar"/>
        </w:rPr>
        <w:t xml:space="preserve">• Independencia de proveedor (OBJ1)</w:t>
      </w:r>
    </w:p>
    <w:p>
      <w:pPr>
        <w:pStyle w:val="FirstParagraph"/>
      </w:pPr>
      <w:r>
        <w:t xml:space="preserve">Para lo cual, la hoja de ruta E-Service está orientada a impactar los siguientes brechas y oportunidades:</w:t>
      </w:r>
      <w:r>
        <w:t xml:space="preserve"> </w:t>
      </w:r>
      <w:r>
        <w:t xml:space="preserve">• OP1. Instaurar la figura de gobierno SOA, capacidad, proceso y recursos</w:t>
      </w:r>
      <w:r>
        <w:t xml:space="preserve"> </w:t>
      </w:r>
      <w:r>
        <w:t xml:space="preserve">• OP2. Mejorar proceso de diseño, construcción y DevOps de soluciones SOA</w:t>
      </w:r>
      <w:r>
        <w:t xml:space="preserve"> </w:t>
      </w:r>
      <w:r>
        <w:t xml:space="preserve">• OP3. Mejorar la oferta de servicios analíticos en segmento FNA</w:t>
      </w:r>
      <w:r>
        <w:t xml:space="preserve"> </w:t>
      </w:r>
      <w:r>
        <w:t xml:space="preserve">• OP4. Aumentar el nivel de utilización de la Tecnología SOA del FNA</w:t>
      </w:r>
      <w:r>
        <w:t xml:space="preserve"> </w:t>
      </w:r>
      <w:r>
        <w:t xml:space="preserve">• OP5. Desarrollo de Servicios FNA guiada por la arquitectura de referencia 2.0</w:t>
      </w:r>
      <w:r>
        <w:t xml:space="preserve"> </w:t>
      </w:r>
      <w:r>
        <w:t xml:space="preserve">• OP6. Gestión de la Tecnología (gobierno) orientada por arquitectura 2.0</w:t>
      </w:r>
      <w:r>
        <w:t xml:space="preserve"> </w:t>
      </w:r>
      <w:r>
        <w:t xml:space="preserve">• OP7. Articulación y fortalecimiento del equipo de arquitectura del FNA junto a proveedores</w:t>
      </w:r>
      <w:r>
        <w:t xml:space="preserve"> </w:t>
      </w:r>
      <w:r>
        <w:t xml:space="preserve">• OP8. Monitoreo de los índices de eficacia de los servicios FNA</w:t>
      </w:r>
    </w:p>
    <w:p>
      <w:pPr>
        <w:pStyle w:val="Textoindependiente"/>
      </w:pPr>
    </w:p>
    <w:bookmarkEnd w:id="26"/>
    <w:bookmarkStart w:id="33" w:name="alcance"/>
    <w:p>
      <w:pPr>
        <w:pStyle w:val="Ttulo2"/>
      </w:pPr>
      <w:r>
        <w:t xml:space="preserve">Alcance</w:t>
      </w:r>
    </w:p>
    <w:p>
      <w:pPr>
        <w:pStyle w:val="FirstParagraph"/>
      </w:pPr>
      <w:r>
        <w:t xml:space="preserve">Para el período 2023, la implementación de la hoja de ruta E-Service impactará los objetivos de Flexibilidad (OBJ3) y Fortalecimiento (OBJ2), mediante el incremento de las capacidades del FNA de diseño e implementación de soluciones de negocio (ver todas las capacidades FNA, diagnóstico E-Service, fase 1), en el dominio de aplicaciones y servicios solamente.</w:t>
      </w:r>
    </w:p>
    <w:p>
      <w:pPr>
        <w:pStyle w:val="Textoindependiente"/>
      </w:pPr>
      <w:r>
        <w:t xml:space="preserve">Las capacidades impactadas en el alcance del proyecto hoja de ruta E-Service, período 2023, para el dominio de aplicaciones y servicios</w:t>
      </w:r>
      <w:r>
        <w:t xml:space="preserve"> </w:t>
      </w:r>
      <w:r>
        <w:t xml:space="preserve">• CAP1. Capacidad de gestión de tecnología</w:t>
      </w:r>
      <w:r>
        <w:t xml:space="preserve"> </w:t>
      </w:r>
      <w:r>
        <w:t xml:space="preserve">• CAP2. Entrega de productos y funcionalidades.</w:t>
      </w:r>
    </w:p>
    <w:p>
      <w:pPr>
        <w:pStyle w:val="Textoindependiente"/>
      </w:pPr>
      <w:r>
        <w:t xml:space="preserve">El incremento de las capacidades de gestión de tecnología (TI), y la de entrega de productos y funcionalidades, incluidas en el alcance del período 2023, se realizará mediante la ejecución de los proyectos aquí indicados:</w:t>
      </w:r>
    </w:p>
    <w:p>
      <w:pPr>
        <w:pStyle w:val="SourceCode"/>
      </w:pPr>
      <w:r>
        <w:rPr>
          <w:rStyle w:val="VerbatimChar"/>
        </w:rPr>
        <w:t xml:space="preserve">1. (proy. cierre brecha) PRY01. Gobierno SOA FNA --Incremento 1: dominio de aplicaciones y servicios únicamente</w:t>
      </w:r>
      <w:r>
        <w:br/>
      </w:r>
      <w:r>
        <w:rPr>
          <w:rStyle w:val="VerbatimChar"/>
        </w:rPr>
        <w:t xml:space="preserve">2. (proy. cierre brecha) Arquitectura Referencia --Incremento 1: dominio de aplicaciones y servicios únicamente</w:t>
      </w:r>
    </w:p>
    <w:p>
      <w:pPr>
        <w:pStyle w:val="FirstParagraph"/>
      </w:pPr>
      <w:r>
        <w:t xml:space="preserve">El alcance del proyecto de ejecución de la hoja de ruta, período 2023, es el ilustrado en la imagen siguente.</w:t>
      </w:r>
    </w:p>
    <w:p>
      <w:pPr>
        <w:pStyle w:val="Figure"/>
      </w:pPr>
      <w:r>
        <w:drawing>
          <wp:inline>
            <wp:extent cx="5600700" cy="1561170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images/vistaevolucion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15611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4">
        <w:r>
          <w:rPr>
            <w:rStyle w:val="Hipervnculo"/>
          </w:rPr>
          <w:t xml:space="preserve">Imagen 1.</w:t>
        </w:r>
      </w:hyperlink>
      <w:r>
        <w:t xml:space="preserve"> </w:t>
      </w:r>
      <w:r>
        <w:t xml:space="preserve">Vista de evolución de capacidades dentro del alcance del proyecto hoja de ruta E-Service, período 2023, dominio de aplicaciones y servicios. Capacidades incrementadas para impactar a los objetivos Flexibilidad (OBJ3) y Fortalecimiento (OBJ2).</w:t>
      </w:r>
    </w:p>
    <w:p>
      <w:pPr>
        <w:pStyle w:val="Textoindependiente"/>
      </w:pPr>
      <w:r>
        <w:t xml:space="preserve">Por consecuencia de estos los proyectos PRY01 y PRY02 de la hoja de ruta, en el período 2023, y del consiguiente incremento en las capacidades del FNA incluidas en este alcance, la arquitectura SOA del Fondo evolucionará a su vez en dos versiones nuevas, como sigue</w:t>
      </w:r>
    </w:p>
    <w:p>
      <w:pPr>
        <w:pStyle w:val="Figure"/>
      </w:pPr>
      <w:r>
        <w:drawing>
          <wp:inline>
            <wp:extent cx="5600700" cy="3740327"/>
            <wp:effectExtent b="0" l="0" r="0" t="0"/>
            <wp:docPr descr="" title="" id="31" name="Picture"/>
            <a:graphic>
              <a:graphicData uri="http://schemas.openxmlformats.org/drawingml/2006/picture">
                <pic:pic>
                  <pic:nvPicPr>
                    <pic:cNvPr descr="images/vistaevolarquitectura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7403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4">
        <w:r>
          <w:rPr>
            <w:rStyle w:val="Hipervnculo"/>
          </w:rPr>
          <w:t xml:space="preserve">Imagen 2.</w:t>
        </w:r>
      </w:hyperlink>
      <w:r>
        <w:t xml:space="preserve"> </w:t>
      </w:r>
      <w:r>
        <w:t xml:space="preserve">Vista de evolución de arquitectura de referencia FNA a razón del las capacidades incrementadas.</w:t>
      </w:r>
    </w:p>
    <w:p>
      <w:pPr>
        <w:pStyle w:val="Textoindependiente"/>
      </w:pPr>
    </w:p>
    <w:bookmarkEnd w:id="33"/>
    <w:bookmarkStart w:id="37" w:name="componentes-modificados"/>
    <w:p>
      <w:pPr>
        <w:pStyle w:val="Ttulo2"/>
      </w:pPr>
      <w:r>
        <w:t xml:space="preserve">Componentes modificados</w:t>
      </w:r>
    </w:p>
    <w:p>
      <w:pPr>
        <w:pStyle w:val="FirstParagraph"/>
      </w:pPr>
      <w:r>
        <w:t xml:space="preserve">Los aumentos de versión de la arquitectura SOA del FNA implica que ítems de trabajo, componentes de software, aplicaciones, tecnologías o recursos de capital humano deban ser modificados (aumentado de versión).</w:t>
      </w:r>
    </w:p>
    <w:p>
      <w:pPr>
        <w:pStyle w:val="Textoindependiente"/>
      </w:pPr>
      <w:r>
        <w:t xml:space="preserve">Con propósito únicamente ilustrativo de los ítems que pueden ser sujetos de variante (especialización) por concepto de los incrementos de la arquitectura del FNA, dominio de aplicaciones y servicios únicamente, bajo las condiciones de tiempo y recursos del proyecto de implemenatción de hoja de ruta E-Service, período 2023, presentamos a continuación una lista de aplicaciones de software que pueden llegar a cambiar (otros ítems se no presentes en este ejemplo pueden ser impactados).</w:t>
      </w:r>
    </w:p>
    <w:p>
      <w:pPr>
        <w:pStyle w:val="Figure"/>
      </w:pPr>
      <w:r>
        <w:drawing>
          <wp:inline>
            <wp:extent cx="5600700" cy="3791707"/>
            <wp:effectExtent b="0" l="0" r="0" t="0"/>
            <wp:docPr descr="" title="" id="35" name="Picture"/>
            <a:graphic>
              <a:graphicData uri="http://schemas.openxmlformats.org/drawingml/2006/picture">
                <pic:pic>
                  <pic:nvPicPr>
                    <pic:cNvPr descr="images/vistaitemsarq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7917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4">
        <w:r>
          <w:rPr>
            <w:rStyle w:val="Hipervnculo"/>
          </w:rPr>
          <w:t xml:space="preserve">Imagen 2.</w:t>
        </w:r>
      </w:hyperlink>
      <w:r>
        <w:t xml:space="preserve"> </w:t>
      </w:r>
      <w:r>
        <w:t xml:space="preserve">Aplicaciones de software del FNA involucrados en los incrementos de versión de la arquitectura de referencia.</w:t>
      </w:r>
    </w:p>
    <w:p>
      <w:pPr>
        <w:pStyle w:val="Textoindependiente"/>
      </w:pPr>
    </w:p>
    <w:bookmarkEnd w:id="37"/>
    <w:bookmarkStart w:id="40" w:name="equipo-base-del-proyecto"/>
    <w:p>
      <w:pPr>
        <w:pStyle w:val="Ttulo2"/>
      </w:pPr>
      <w:r>
        <w:t xml:space="preserve">Equipo Base del Proyecto</w:t>
      </w:r>
    </w:p>
    <w:p>
      <w:pPr>
        <w:pStyle w:val="FirstParagraph"/>
      </w:pPr>
      <w:r>
        <w:t xml:space="preserve">Organizado por proyecto.</w:t>
      </w:r>
    </w:p>
    <w:bookmarkStart w:id="38" w:name="X231ab8377b1866bd8f710a1caa91b551f314ae5"/>
    <w:p>
      <w:pPr>
        <w:pStyle w:val="Ttulo3"/>
      </w:pPr>
      <w:r>
        <w:t xml:space="preserve">PRY01. Gobierno SOA FNA –Incremento 1: dominio de aplicaciones y servicios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Trabajo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Dedicación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Horas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Director / Gerente proyecto (Stefanini)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Calidad del proyecto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 o 50%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1200 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Nota: este recurso puede ser individual, o común entre ambos proyectos del alcance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Especialista SOA 1, o Arquitectura empresarial (Stefanini/MEGA)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Referente para montaje de gobierno SOA, modelamiento procesos, software y servicios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Nota: considerar un perfil parcial de apoyo al especialista SOA, experiencia en herr. MEGA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Especialista construcción software, servicios y componentes (Stefanini)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Referente para diseño de servicios y software, modelamiento procesos, software y servicios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Personal del FNA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Receción y ejecución de gobierno SOA, modelamiento software y servicios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○ Especialista SOA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○ Especialista(s) construcción software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38"/>
    <w:bookmarkStart w:id="39" w:name="X2af00226cd4a76e478e50c841bb3fc7ea8c1dcb"/>
    <w:p>
      <w:pPr>
        <w:pStyle w:val="Ttulo3"/>
      </w:pPr>
      <w:r>
        <w:t xml:space="preserve">PRY02. Arquitectura Referencia –Incremento 1: dominio de aplicaciones y servicios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Trabajo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Dedicación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Horas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Director / Gerente proyecto (Stefanini)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Calidad del proyecto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 o 50%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Nota: este recurso puede ser individual, o común entre ambos proyectos del alcance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Especialista SOA o Arquitectura de software (Stefanini)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Referente y vigilancia de implementación y diseños, modelamiento software y servicios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Especialista construcción software, servicios y componentes (Stefanini)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Implementación y vigilancia de implementación y diseños, modelamiento software y servicios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Personal del FNA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Receción y ejecución de diseños, requerimientos, e implementación, SOA, modelamiento requerimientos, procesos y servicios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○ Especialistas de aplicaciones pertenecientes al incremento de versión de la arquitectura FNA (ver Figura3. Aplicaciones de software del FNA involucrados en los incrementos de versión de la arquitectura de referencia)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○ Líder funcional de aplicaciones pertenecientes al incremento de versión de la arquitectura FNA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p>
      <w:pPr>
        <w:pStyle w:val="Textoindependiente"/>
      </w:pPr>
      <w:r>
        <w:t xml:space="preserve">(*) La dedicación y horas de participación de los recursos internos la dispone el FNA.</w:t>
      </w:r>
    </w:p>
    <w:p>
      <w:pPr>
        <w:pStyle w:val="Textoindependiente"/>
      </w:pPr>
      <w:r>
        <w:t xml:space="preserve">(**) 160 hrs/mes * 8 meses = 1,280 hrs proy</w:t>
      </w:r>
    </w:p>
    <w:p>
      <w:pPr>
        <w:pStyle w:val="Textoindependiente"/>
      </w:pPr>
    </w:p>
    <w:bookmarkEnd w:id="39"/>
    <w:bookmarkEnd w:id="40"/>
    <w:bookmarkStart w:id="44" w:name="plan-de-trabajo"/>
    <w:p>
      <w:pPr>
        <w:pStyle w:val="Ttulo2"/>
      </w:pPr>
      <w:r>
        <w:t xml:space="preserve">Plan de Trabajo</w:t>
      </w:r>
    </w:p>
    <w:p>
      <w:pPr>
        <w:pStyle w:val="FirstParagraph"/>
      </w:pPr>
      <w:r>
        <w:t xml:space="preserve">Organización del proyecto. El proyecto está organizado en 4 fases. La fase de Levantamiento (LVT) presentada abajo en la imagen determina en detalle los elementos de gobierno y de la arquitectura que se evolucionarán en los dos incrementos planteados en el alcance consignado arriba, periodo 2023, que se corresponden con las fases 2 y 3 de la imagen abajo.</w:t>
      </w:r>
    </w:p>
    <w:p>
      <w:pPr>
        <w:pStyle w:val="Figure"/>
      </w:pPr>
      <w:r>
        <w:drawing>
          <wp:inline>
            <wp:extent cx="5600700" cy="3753320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images/vistaimplementacion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7533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4">
        <w:r>
          <w:rPr>
            <w:rStyle w:val="Hipervnculo"/>
          </w:rPr>
          <w:t xml:space="preserve">Imagen 4.</w:t>
        </w:r>
      </w:hyperlink>
      <w:r>
        <w:t xml:space="preserve"> </w:t>
      </w:r>
      <w:r>
        <w:t xml:space="preserve">Plan de Implementación del Proyecto Hoja de Ruta E-Service FNA, 2023. Abril 2023 a Dic 2023. Ver 1.0</w:t>
      </w:r>
    </w:p>
    <w:p>
      <w:pPr>
        <w:pStyle w:val="Textoindependiente"/>
      </w:pPr>
      <w:r>
        <w:t xml:space="preserve">La fase 1, Gobierno, diseña y determina los procesos de gestión de mejoramiento de la arquitectura SOA y la vigilancia de riesgo técnico que regirán en adelante en el FNA. Estos mismo procesos de gobierno aplican en las fases sucesivas del proyecto.</w:t>
      </w:r>
    </w:p>
    <w:p>
      <w:pPr>
        <w:pStyle w:val="Textoindependiente"/>
      </w:pPr>
      <w:r>
        <w:t xml:space="preserve">Las fases 2 y 3 impactan directamente a elementos de la arquitectura SOA del FNA, esto es, sistemas de información, herramientas de software, servicios, o componentes seleccionados en la fase Levantamiento.</w:t>
      </w:r>
    </w:p>
    <w:p>
      <w:pPr>
        <w:pStyle w:val="Textoindependiente"/>
      </w:pPr>
      <w:r>
        <w:t xml:space="preserve">Finalmente, la fase 4 se encarga de ejecutar los indicaddores de medición de desempeño, tanto del gobierno como de los incrementos de evolución de la arquitectura de referencia 2.0 (ver resultados del diagnóstico E-Service, 2022).</w:t>
      </w:r>
    </w:p>
    <w:p>
      <w:pPr>
        <w:pStyle w:val="Textoindependiente"/>
      </w:pPr>
    </w:p>
    <w:bookmarkEnd w:id="44"/>
    <w:bookmarkStart w:id="45" w:name="entregables"/>
    <w:p>
      <w:pPr>
        <w:pStyle w:val="Ttulo2"/>
      </w:pPr>
      <w:r>
        <w:t xml:space="preserve">Entregables</w:t>
      </w:r>
    </w:p>
    <w:p>
      <w:pPr>
        <w:pStyle w:val="FirstParagraph"/>
      </w:pPr>
      <w:r>
        <w:t xml:space="preserve">Fase LVT</w:t>
      </w:r>
      <w:r>
        <w:t xml:space="preserve"> </w:t>
      </w:r>
      <w:r>
        <w:t xml:space="preserve">* Detalle de los ítems de arquitectura impactados por el proyecto</w:t>
      </w:r>
      <w:r>
        <w:t xml:space="preserve"> </w:t>
      </w:r>
      <w:r>
        <w:t xml:space="preserve">* Detalle de los recursos, herramientas, roles, responsabilidades y participanes</w:t>
      </w:r>
    </w:p>
    <w:p>
      <w:pPr>
        <w:pStyle w:val="Textoindependiente"/>
      </w:pPr>
      <w:r>
        <w:t xml:space="preserve">Fase 1</w:t>
      </w:r>
      <w:r>
        <w:t xml:space="preserve"> </w:t>
      </w:r>
      <w:r>
        <w:t xml:space="preserve">* Procesos de mejoramiento de diseño y vigilancia de riesgos técnicos</w:t>
      </w:r>
      <w:r>
        <w:t xml:space="preserve"> </w:t>
      </w:r>
      <w:r>
        <w:t xml:space="preserve">* Modelos actualizados de los ítems de arquitectura impactados por el proyecto</w:t>
      </w:r>
    </w:p>
    <w:p>
      <w:pPr>
        <w:pStyle w:val="Textoindependiente"/>
      </w:pPr>
      <w:r>
        <w:t xml:space="preserve">Fase 2</w:t>
      </w:r>
      <w:r>
        <w:t xml:space="preserve"> </w:t>
      </w:r>
      <w:r>
        <w:t xml:space="preserve">* ítems de arquitectura incrementados en ejecución</w:t>
      </w:r>
      <w:r>
        <w:t xml:space="preserve"> </w:t>
      </w:r>
      <w:r>
        <w:t xml:space="preserve">* Análisis de impacto y modelos actualizados de los ítems de arquitectura</w:t>
      </w:r>
    </w:p>
    <w:p>
      <w:pPr>
        <w:pStyle w:val="Textoindependiente"/>
      </w:pPr>
      <w:r>
        <w:t xml:space="preserve">Fase 3</w:t>
      </w:r>
      <w:r>
        <w:t xml:space="preserve"> </w:t>
      </w:r>
      <w:r>
        <w:t xml:space="preserve">* ítems de arquitectura incrementados en ejecución</w:t>
      </w:r>
      <w:r>
        <w:t xml:space="preserve"> </w:t>
      </w:r>
      <w:r>
        <w:t xml:space="preserve">* Análisis de impacto y modelos actualizados de los ítems de arquitectura</w:t>
      </w:r>
    </w:p>
    <w:p>
      <w:pPr>
        <w:pStyle w:val="Textoindependiente"/>
      </w:pPr>
      <w:r>
        <w:t xml:space="preserve">Fase 4</w:t>
      </w:r>
      <w:r>
        <w:t xml:space="preserve"> </w:t>
      </w:r>
      <w:r>
        <w:t xml:space="preserve">* Métricas de desempeño gobierno e implementación SOA</w:t>
      </w:r>
      <w:r>
        <w:t xml:space="preserve"> </w:t>
      </w:r>
      <w:r>
        <w:t xml:space="preserve">* Modelos actualizados de los ítems de arquitectura impactados por el proyecto</w:t>
      </w:r>
    </w:p>
    <w:bookmarkEnd w:id="45"/>
    <w:bookmarkStart w:id="46" w:name="costo-beneficio-aproximado"/>
    <w:p>
      <w:pPr>
        <w:pStyle w:val="Ttulo2"/>
      </w:pPr>
      <w:r>
        <w:t xml:space="preserve">Costo Beneficio (aproximado)</w:t>
      </w:r>
    </w:p>
    <w:p>
      <w:pPr>
        <w:pStyle w:val="FirstParagraph"/>
      </w:pPr>
      <w:r>
        <w:t xml:space="preserve">…</w:t>
      </w:r>
    </w:p>
    <w:p>
      <w:pPr>
        <w:pStyle w:val="Textoindependiente"/>
      </w:pPr>
    </w:p>
    <w:bookmarkEnd w:id="46"/>
    <w:bookmarkStart w:id="47" w:name="consideraciones"/>
    <w:p>
      <w:pPr>
        <w:pStyle w:val="Ttulo2"/>
      </w:pPr>
      <w:r>
        <w:t xml:space="preserve">Consideraciones</w:t>
      </w:r>
    </w:p>
    <w:p>
      <w:pPr>
        <w:pStyle w:val="FirstParagraph"/>
      </w:pPr>
      <w:r>
        <w:t xml:space="preserve">…</w:t>
      </w:r>
    </w:p>
    <w:bookmarkEnd w:id="47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1" Target="media/rId21.png" /><Relationship Type="http://schemas.openxmlformats.org/officeDocument/2006/relationships/image" Id="rId30" Target="media/rId30.png" /><Relationship Type="http://schemas.openxmlformats.org/officeDocument/2006/relationships/image" Id="rId27" Target="media/rId27.png" /><Relationship Type="http://schemas.openxmlformats.org/officeDocument/2006/relationships/image" Id="rId41" Target="media/rId41.png" /><Relationship Type="http://schemas.openxmlformats.org/officeDocument/2006/relationships/image" Id="rId34" Target="media/rId34.png" /><Relationship Type="http://schemas.openxmlformats.org/officeDocument/2006/relationships/hyperlink" Id="rId24" Target="" TargetMode="External" /><Relationship Type="http://schemas.openxmlformats.org/officeDocument/2006/relationships/hyperlink" Id="rId20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" TargetMode="External" /><Relationship Type="http://schemas.openxmlformats.org/officeDocument/2006/relationships/hyperlink" Id="rId20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2023-08-31T15:03:35Z</dcterms:created>
  <dcterms:modified xsi:type="dcterms:W3CDTF">2023-08-31T15:03:35Z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