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nálisis-de-las-fortalezas-soa-del-fna"/>
    <w:p>
      <w:pPr>
        <w:pStyle w:val="Ttulo2"/>
      </w:pPr>
      <w:r>
        <w:t xml:space="preserve">Análisis de las Fortalezas SOA del FNA</w:t>
      </w:r>
    </w:p>
    <w:p>
      <w:pPr>
        <w:numPr>
          <w:ilvl w:val="0"/>
          <w:numId w:val="1001"/>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01"/>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20">
        <w:r>
          <w:rPr>
            <w:rStyle w:val="Hipervnculo"/>
          </w:rPr>
          <w:t xml:space="preserve">N003e. Catálogo de Servicios FNA-1</w:t>
        </w:r>
      </w:hyperlink>
      <w:r>
        <w:t xml:space="preserve">, y</w:t>
      </w:r>
      <w:r>
        <w:t xml:space="preserve"> </w:t>
      </w:r>
      <w:hyperlink r:id="rId21">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01"/>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21">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01"/>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22">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01"/>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footnotes.xml.rels><?xml version="1.0" encoding="UTF-8"?><Relationships xmlns="http://schemas.openxmlformats.org/package/2006/relationships"><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2023-03-28T14:08:58Z</dcterms:created>
  <dcterms:modified xsi:type="dcterms:W3CDTF">2023-03-28T14:08:58Z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